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A02BC" w14:textId="77777777" w:rsidR="00CF481F" w:rsidRPr="00A258D0" w:rsidRDefault="009C7860" w:rsidP="009C7860">
      <w:pPr>
        <w:pStyle w:val="Nadpis1"/>
        <w:rPr>
          <w:sz w:val="24"/>
          <w:szCs w:val="24"/>
        </w:rPr>
      </w:pPr>
      <w:bookmarkStart w:id="0" w:name="_Toc37165903"/>
      <w:bookmarkStart w:id="1" w:name="_Hlk32400871"/>
      <w:bookmarkStart w:id="2" w:name="_Hlk500935243"/>
      <w:r w:rsidRPr="00A258D0">
        <w:t xml:space="preserve">1. </w:t>
      </w:r>
      <w:r w:rsidR="009F3387" w:rsidRPr="00A258D0">
        <w:t>Úvod</w:t>
      </w:r>
      <w:bookmarkEnd w:id="0"/>
    </w:p>
    <w:p w14:paraId="60F3452E" w14:textId="6FB1D7B7" w:rsidR="005E66D0" w:rsidRDefault="005E66D0" w:rsidP="005E66D0">
      <w:pPr>
        <w:spacing w:line="276" w:lineRule="auto"/>
        <w:jc w:val="both"/>
        <w:rPr>
          <w:sz w:val="24"/>
          <w:szCs w:val="24"/>
        </w:rPr>
      </w:pPr>
    </w:p>
    <w:p w14:paraId="14AD77CD" w14:textId="3A759AEE" w:rsidR="005E66D0" w:rsidRDefault="005E66D0" w:rsidP="005E66D0">
      <w:pPr>
        <w:spacing w:line="276" w:lineRule="auto"/>
        <w:jc w:val="both"/>
        <w:rPr>
          <w:sz w:val="24"/>
          <w:szCs w:val="24"/>
        </w:rPr>
      </w:pPr>
      <w:r w:rsidRPr="005E66D0">
        <w:rPr>
          <w:sz w:val="24"/>
          <w:szCs w:val="24"/>
        </w:rPr>
        <w:t xml:space="preserve">Předmětem zakázky je </w:t>
      </w:r>
      <w:r w:rsidR="00F11A42">
        <w:rPr>
          <w:sz w:val="24"/>
          <w:szCs w:val="24"/>
        </w:rPr>
        <w:t xml:space="preserve">hydrogeologický </w:t>
      </w:r>
      <w:r w:rsidR="00504FE6">
        <w:rPr>
          <w:sz w:val="24"/>
          <w:szCs w:val="24"/>
        </w:rPr>
        <w:t xml:space="preserve">monitoring a ověření starých důlních děl v oblasti </w:t>
      </w:r>
      <w:r>
        <w:rPr>
          <w:sz w:val="24"/>
          <w:szCs w:val="24"/>
        </w:rPr>
        <w:t>stavby II/229 Rakovník, obchvat část B1</w:t>
      </w:r>
      <w:r w:rsidRPr="005E66D0">
        <w:rPr>
          <w:sz w:val="24"/>
          <w:szCs w:val="24"/>
        </w:rPr>
        <w:t xml:space="preserve">. </w:t>
      </w:r>
      <w:r w:rsidR="000942AA">
        <w:rPr>
          <w:sz w:val="24"/>
          <w:szCs w:val="24"/>
        </w:rPr>
        <w:t>Práce jsou navrženy v takové</w:t>
      </w:r>
      <w:r w:rsidR="00F11A42">
        <w:rPr>
          <w:sz w:val="24"/>
          <w:szCs w:val="24"/>
        </w:rPr>
        <w:t xml:space="preserve"> míře podrobnosti, aby </w:t>
      </w:r>
      <w:r w:rsidRPr="005E66D0">
        <w:rPr>
          <w:sz w:val="24"/>
          <w:szCs w:val="24"/>
        </w:rPr>
        <w:t>poskytl</w:t>
      </w:r>
      <w:r w:rsidR="00F11A42">
        <w:rPr>
          <w:sz w:val="24"/>
          <w:szCs w:val="24"/>
        </w:rPr>
        <w:t>y</w:t>
      </w:r>
      <w:r w:rsidRPr="005E66D0">
        <w:rPr>
          <w:sz w:val="24"/>
          <w:szCs w:val="24"/>
        </w:rPr>
        <w:t xml:space="preserve"> dostatečně </w:t>
      </w:r>
      <w:r w:rsidR="00F11A42">
        <w:rPr>
          <w:sz w:val="24"/>
          <w:szCs w:val="24"/>
        </w:rPr>
        <w:t>pro zpracování projektové dokumentace výše uvedené stavby.</w:t>
      </w:r>
    </w:p>
    <w:p w14:paraId="34717ADE" w14:textId="77777777" w:rsidR="005E66D0" w:rsidRPr="005E66D0" w:rsidRDefault="005E66D0" w:rsidP="005E66D0">
      <w:pPr>
        <w:spacing w:line="276" w:lineRule="auto"/>
        <w:jc w:val="both"/>
        <w:rPr>
          <w:sz w:val="24"/>
          <w:szCs w:val="24"/>
        </w:rPr>
      </w:pPr>
    </w:p>
    <w:p w14:paraId="0239AB7B" w14:textId="5D4871DC" w:rsidR="009C7860" w:rsidRPr="00E5195D" w:rsidRDefault="00D064C8" w:rsidP="00722AA0">
      <w:pPr>
        <w:spacing w:line="276" w:lineRule="auto"/>
        <w:jc w:val="both"/>
        <w:rPr>
          <w:sz w:val="24"/>
          <w:szCs w:val="24"/>
        </w:rPr>
      </w:pPr>
      <w:r w:rsidRPr="00E5195D">
        <w:rPr>
          <w:sz w:val="24"/>
          <w:szCs w:val="24"/>
        </w:rPr>
        <w:t xml:space="preserve">Silnice II/229 je silnice II. třídy, která spojuje město Louny v Ústeckém kraji, Rakovník ve Středočeském kraji a Kralovice v Plzeňském kraji. Silnice prochází celkem 18 obcemi a celková délka je 61 km. </w:t>
      </w:r>
      <w:r w:rsidR="003C68DD">
        <w:rPr>
          <w:sz w:val="24"/>
          <w:szCs w:val="24"/>
        </w:rPr>
        <w:t xml:space="preserve"> </w:t>
      </w:r>
      <w:r w:rsidR="00E5195D" w:rsidRPr="00E5195D">
        <w:rPr>
          <w:sz w:val="24"/>
          <w:szCs w:val="24"/>
        </w:rPr>
        <w:t xml:space="preserve">Řešený úsek obchvatu silnice II/229 bude tvořit jižní a jihovýchodní část města, v předpokládané délce 2,483 km. </w:t>
      </w:r>
      <w:r w:rsidR="00B30A2B" w:rsidRPr="00E5195D">
        <w:rPr>
          <w:sz w:val="24"/>
          <w:szCs w:val="24"/>
        </w:rPr>
        <w:t xml:space="preserve">Hlavním přínosem výstavby </w:t>
      </w:r>
      <w:r w:rsidRPr="00E5195D">
        <w:rPr>
          <w:sz w:val="24"/>
          <w:szCs w:val="24"/>
        </w:rPr>
        <w:t>obchvatu</w:t>
      </w:r>
      <w:r w:rsidR="00B30A2B" w:rsidRPr="00E5195D">
        <w:rPr>
          <w:sz w:val="24"/>
          <w:szCs w:val="24"/>
        </w:rPr>
        <w:t xml:space="preserve"> silnice I</w:t>
      </w:r>
      <w:r w:rsidRPr="00E5195D">
        <w:rPr>
          <w:sz w:val="24"/>
          <w:szCs w:val="24"/>
        </w:rPr>
        <w:t>I</w:t>
      </w:r>
      <w:r w:rsidR="00B30A2B" w:rsidRPr="00E5195D">
        <w:rPr>
          <w:sz w:val="24"/>
          <w:szCs w:val="24"/>
        </w:rPr>
        <w:t>/</w:t>
      </w:r>
      <w:r w:rsidRPr="00E5195D">
        <w:rPr>
          <w:sz w:val="24"/>
          <w:szCs w:val="24"/>
        </w:rPr>
        <w:t>229</w:t>
      </w:r>
      <w:r w:rsidR="00B30A2B" w:rsidRPr="00E5195D">
        <w:rPr>
          <w:sz w:val="24"/>
          <w:szCs w:val="24"/>
        </w:rPr>
        <w:t xml:space="preserve"> je </w:t>
      </w:r>
      <w:r w:rsidR="00A258D0" w:rsidRPr="00E5195D">
        <w:rPr>
          <w:sz w:val="24"/>
          <w:szCs w:val="24"/>
        </w:rPr>
        <w:t>dopravní odlehčení středu města a zlepšení bezpečnosti dopravy v daném úseku</w:t>
      </w:r>
      <w:r w:rsidR="00B30A2B" w:rsidRPr="00E5195D">
        <w:rPr>
          <w:sz w:val="24"/>
          <w:szCs w:val="24"/>
        </w:rPr>
        <w:t>.</w:t>
      </w:r>
    </w:p>
    <w:p w14:paraId="7E787699" w14:textId="4ABF47D2" w:rsidR="004F01A2" w:rsidRPr="00C13B7C" w:rsidRDefault="004F01A2" w:rsidP="003A4E3E">
      <w:pPr>
        <w:ind w:firstLine="708"/>
        <w:jc w:val="both"/>
        <w:rPr>
          <w:sz w:val="24"/>
          <w:szCs w:val="24"/>
          <w:highlight w:val="yellow"/>
        </w:rPr>
      </w:pPr>
      <w:r w:rsidRPr="00C13B7C">
        <w:rPr>
          <w:noProof/>
          <w:sz w:val="24"/>
          <w:szCs w:val="24"/>
          <w:highlight w:val="yellow"/>
        </w:rPr>
        <w:drawing>
          <wp:anchor distT="0" distB="0" distL="114300" distR="114300" simplePos="0" relativeHeight="251662848" behindDoc="0" locked="0" layoutInCell="1" allowOverlap="1" wp14:anchorId="4C763507" wp14:editId="6DDD3132">
            <wp:simplePos x="0" y="0"/>
            <wp:positionH relativeFrom="column">
              <wp:posOffset>100330</wp:posOffset>
            </wp:positionH>
            <wp:positionV relativeFrom="paragraph">
              <wp:posOffset>299085</wp:posOffset>
            </wp:positionV>
            <wp:extent cx="5514975" cy="3804920"/>
            <wp:effectExtent l="19050" t="19050" r="28575" b="2413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cnimap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049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6AB9A6" w14:textId="39AB867F" w:rsidR="004F01A2" w:rsidRPr="008278AC" w:rsidRDefault="004F01A2" w:rsidP="001D7836">
      <w:pPr>
        <w:jc w:val="both"/>
        <w:rPr>
          <w:sz w:val="22"/>
          <w:szCs w:val="22"/>
        </w:rPr>
      </w:pPr>
      <w:r w:rsidRPr="008278AC">
        <w:rPr>
          <w:sz w:val="22"/>
          <w:szCs w:val="22"/>
        </w:rPr>
        <w:t xml:space="preserve">Obrázek 1 – </w:t>
      </w:r>
      <w:r w:rsidR="001D7836" w:rsidRPr="008278AC">
        <w:rPr>
          <w:sz w:val="22"/>
          <w:szCs w:val="22"/>
        </w:rPr>
        <w:t>Schématické znázornění</w:t>
      </w:r>
      <w:r w:rsidRPr="008278AC">
        <w:rPr>
          <w:sz w:val="22"/>
          <w:szCs w:val="22"/>
        </w:rPr>
        <w:t xml:space="preserve"> plánované trasy</w:t>
      </w:r>
      <w:r w:rsidR="001D7836" w:rsidRPr="008278AC">
        <w:rPr>
          <w:sz w:val="22"/>
          <w:szCs w:val="22"/>
        </w:rPr>
        <w:t xml:space="preserve"> </w:t>
      </w:r>
      <w:r w:rsidR="00C34752" w:rsidRPr="008278AC">
        <w:rPr>
          <w:sz w:val="22"/>
          <w:szCs w:val="22"/>
        </w:rPr>
        <w:t>II</w:t>
      </w:r>
      <w:r w:rsidR="001D7836" w:rsidRPr="008278AC">
        <w:rPr>
          <w:sz w:val="22"/>
          <w:szCs w:val="22"/>
        </w:rPr>
        <w:t>/</w:t>
      </w:r>
      <w:r w:rsidR="00C34752" w:rsidRPr="008278AC">
        <w:rPr>
          <w:sz w:val="22"/>
          <w:szCs w:val="22"/>
        </w:rPr>
        <w:t>229</w:t>
      </w:r>
      <w:r w:rsidR="001D7836" w:rsidRPr="008278AC">
        <w:rPr>
          <w:sz w:val="22"/>
          <w:szCs w:val="22"/>
        </w:rPr>
        <w:t xml:space="preserve"> </w:t>
      </w:r>
      <w:r w:rsidR="00C34752" w:rsidRPr="008278AC">
        <w:rPr>
          <w:sz w:val="22"/>
          <w:szCs w:val="22"/>
        </w:rPr>
        <w:t>Rakovník obchvat</w:t>
      </w:r>
      <w:r w:rsidRPr="008278AC">
        <w:rPr>
          <w:sz w:val="22"/>
          <w:szCs w:val="22"/>
        </w:rPr>
        <w:t>,</w:t>
      </w:r>
      <w:r w:rsidR="00BA7857" w:rsidRPr="008278AC">
        <w:rPr>
          <w:sz w:val="22"/>
          <w:szCs w:val="22"/>
        </w:rPr>
        <w:t xml:space="preserve"> část B1</w:t>
      </w:r>
      <w:r w:rsidR="00E87CAC">
        <w:rPr>
          <w:sz w:val="22"/>
          <w:szCs w:val="22"/>
        </w:rPr>
        <w:t>,</w:t>
      </w:r>
      <w:r w:rsidRPr="008278AC">
        <w:rPr>
          <w:sz w:val="22"/>
          <w:szCs w:val="22"/>
        </w:rPr>
        <w:t xml:space="preserve"> </w:t>
      </w:r>
      <w:proofErr w:type="gramStart"/>
      <w:r w:rsidRPr="008278AC">
        <w:rPr>
          <w:sz w:val="22"/>
          <w:szCs w:val="22"/>
        </w:rPr>
        <w:t>www</w:t>
      </w:r>
      <w:proofErr w:type="gramEnd"/>
      <w:r w:rsidRPr="008278AC">
        <w:rPr>
          <w:sz w:val="22"/>
          <w:szCs w:val="22"/>
        </w:rPr>
        <w:t>.</w:t>
      </w:r>
      <w:proofErr w:type="gramStart"/>
      <w:r w:rsidRPr="008278AC">
        <w:rPr>
          <w:sz w:val="22"/>
          <w:szCs w:val="22"/>
        </w:rPr>
        <w:t>mapy</w:t>
      </w:r>
      <w:proofErr w:type="gramEnd"/>
      <w:r w:rsidRPr="008278AC">
        <w:rPr>
          <w:sz w:val="22"/>
          <w:szCs w:val="22"/>
        </w:rPr>
        <w:t>.cz, upraveno.</w:t>
      </w:r>
    </w:p>
    <w:bookmarkEnd w:id="1"/>
    <w:p w14:paraId="0F610F11" w14:textId="77777777" w:rsidR="00D064C8" w:rsidRDefault="00D064C8" w:rsidP="009C7860">
      <w:pPr>
        <w:ind w:firstLine="708"/>
        <w:jc w:val="both"/>
        <w:rPr>
          <w:highlight w:val="yellow"/>
        </w:rPr>
      </w:pPr>
    </w:p>
    <w:p w14:paraId="198BB919" w14:textId="5BB6AE1A" w:rsidR="00E5195D" w:rsidRDefault="00E5195D" w:rsidP="009C7860">
      <w:pPr>
        <w:ind w:firstLine="708"/>
        <w:jc w:val="both"/>
        <w:rPr>
          <w:highlight w:val="yellow"/>
        </w:rPr>
      </w:pPr>
    </w:p>
    <w:p w14:paraId="0A41FB0F" w14:textId="2049193C" w:rsidR="00E74799" w:rsidRDefault="00E74799" w:rsidP="009C7860">
      <w:pPr>
        <w:ind w:firstLine="708"/>
        <w:jc w:val="both"/>
        <w:rPr>
          <w:highlight w:val="yellow"/>
        </w:rPr>
      </w:pPr>
    </w:p>
    <w:p w14:paraId="2F59E1C6" w14:textId="53EDC562" w:rsidR="00E74799" w:rsidRDefault="00E74799" w:rsidP="009C7860">
      <w:pPr>
        <w:ind w:firstLine="708"/>
        <w:jc w:val="both"/>
        <w:rPr>
          <w:highlight w:val="yellow"/>
        </w:rPr>
      </w:pPr>
    </w:p>
    <w:p w14:paraId="63BA1844" w14:textId="7D7F7B01" w:rsidR="00E74799" w:rsidRDefault="00E74799" w:rsidP="009C7860">
      <w:pPr>
        <w:ind w:firstLine="708"/>
        <w:jc w:val="both"/>
        <w:rPr>
          <w:highlight w:val="yellow"/>
        </w:rPr>
      </w:pPr>
    </w:p>
    <w:p w14:paraId="1E9EBE57" w14:textId="77777777" w:rsidR="000942AA" w:rsidRDefault="000942AA" w:rsidP="009C7860">
      <w:pPr>
        <w:ind w:firstLine="708"/>
        <w:jc w:val="both"/>
        <w:rPr>
          <w:highlight w:val="yellow"/>
        </w:rPr>
      </w:pPr>
    </w:p>
    <w:p w14:paraId="6F3EE92A" w14:textId="77777777" w:rsidR="003A4E3E" w:rsidRDefault="003A4E3E" w:rsidP="009C7860">
      <w:pPr>
        <w:ind w:firstLine="708"/>
        <w:jc w:val="both"/>
        <w:rPr>
          <w:highlight w:val="yellow"/>
        </w:rPr>
      </w:pPr>
    </w:p>
    <w:p w14:paraId="4A4EF653" w14:textId="77777777" w:rsidR="00E74799" w:rsidRPr="00C13B7C" w:rsidRDefault="00E74799" w:rsidP="009C7860">
      <w:pPr>
        <w:ind w:firstLine="708"/>
        <w:jc w:val="both"/>
        <w:rPr>
          <w:highlight w:val="yellow"/>
        </w:rPr>
      </w:pPr>
    </w:p>
    <w:p w14:paraId="3A1962C5" w14:textId="77777777" w:rsidR="000942AA" w:rsidRPr="003166D4" w:rsidRDefault="009C7860" w:rsidP="000942AA">
      <w:pPr>
        <w:pStyle w:val="Nadpis1"/>
      </w:pPr>
      <w:bookmarkStart w:id="3" w:name="_Toc37165904"/>
      <w:r w:rsidRPr="00D064C8">
        <w:lastRenderedPageBreak/>
        <w:t xml:space="preserve">2. </w:t>
      </w:r>
      <w:r w:rsidR="000942AA">
        <w:t>Stará důlní díla a jejich charakteristika</w:t>
      </w:r>
      <w:bookmarkEnd w:id="3"/>
    </w:p>
    <w:p w14:paraId="7AEEE266" w14:textId="77777777" w:rsidR="000942AA" w:rsidRDefault="000942AA" w:rsidP="000314B3">
      <w:pPr>
        <w:tabs>
          <w:tab w:val="left" w:pos="538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Projektovaná s</w:t>
      </w:r>
      <w:r w:rsidRPr="008040FB">
        <w:rPr>
          <w:sz w:val="24"/>
          <w:szCs w:val="24"/>
        </w:rPr>
        <w:t xml:space="preserve">tavba silničního obchvatu </w:t>
      </w:r>
      <w:r>
        <w:rPr>
          <w:sz w:val="24"/>
          <w:szCs w:val="24"/>
        </w:rPr>
        <w:t xml:space="preserve">a její blízké okolí </w:t>
      </w:r>
      <w:r w:rsidRPr="008040FB">
        <w:rPr>
          <w:sz w:val="24"/>
          <w:szCs w:val="24"/>
        </w:rPr>
        <w:t xml:space="preserve">zasahuje </w:t>
      </w:r>
      <w:r>
        <w:rPr>
          <w:sz w:val="24"/>
          <w:szCs w:val="24"/>
        </w:rPr>
        <w:t xml:space="preserve">podle mapy ČGS </w:t>
      </w:r>
      <w:r w:rsidRPr="008040FB">
        <w:rPr>
          <w:sz w:val="24"/>
          <w:szCs w:val="24"/>
        </w:rPr>
        <w:t xml:space="preserve">do </w:t>
      </w:r>
      <w:r>
        <w:rPr>
          <w:sz w:val="24"/>
          <w:szCs w:val="24"/>
        </w:rPr>
        <w:t xml:space="preserve">tří </w:t>
      </w:r>
      <w:r w:rsidRPr="008040FB">
        <w:rPr>
          <w:sz w:val="24"/>
          <w:szCs w:val="24"/>
        </w:rPr>
        <w:t>ložiskových území</w:t>
      </w:r>
      <w:r>
        <w:rPr>
          <w:sz w:val="24"/>
          <w:szCs w:val="24"/>
        </w:rPr>
        <w:t xml:space="preserve">. První území (číslo 1 na obrázku), nacházející se jižně od města, se </w:t>
      </w:r>
      <w:proofErr w:type="gramStart"/>
      <w:r>
        <w:rPr>
          <w:sz w:val="24"/>
          <w:szCs w:val="24"/>
        </w:rPr>
        <w:t xml:space="preserve">nazývá </w:t>
      </w:r>
      <w:r w:rsidRPr="008040FB">
        <w:rPr>
          <w:sz w:val="24"/>
          <w:szCs w:val="24"/>
        </w:rPr>
        <w:t>,,Lubná</w:t>
      </w:r>
      <w:proofErr w:type="gramEnd"/>
      <w:r w:rsidRPr="008040FB">
        <w:rPr>
          <w:sz w:val="24"/>
          <w:szCs w:val="24"/>
        </w:rPr>
        <w:t xml:space="preserve"> u Rakovníka“</w:t>
      </w:r>
      <w:r>
        <w:rPr>
          <w:sz w:val="24"/>
          <w:szCs w:val="24"/>
        </w:rPr>
        <w:t xml:space="preserve">, dříve rozdělené na jednotlivá důlní díla: </w:t>
      </w:r>
      <w:proofErr w:type="spellStart"/>
      <w:r>
        <w:rPr>
          <w:sz w:val="24"/>
          <w:szCs w:val="24"/>
        </w:rPr>
        <w:t>Bulovna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Huřviny</w:t>
      </w:r>
      <w:proofErr w:type="spellEnd"/>
      <w:r>
        <w:rPr>
          <w:sz w:val="24"/>
          <w:szCs w:val="24"/>
        </w:rPr>
        <w:t xml:space="preserve">, Důl </w:t>
      </w:r>
      <w:proofErr w:type="spellStart"/>
      <w:r>
        <w:rPr>
          <w:sz w:val="24"/>
          <w:szCs w:val="24"/>
        </w:rPr>
        <w:t>Rako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Krčelák</w:t>
      </w:r>
      <w:proofErr w:type="spellEnd"/>
      <w:r>
        <w:rPr>
          <w:sz w:val="24"/>
          <w:szCs w:val="24"/>
        </w:rPr>
        <w:t xml:space="preserve">. Druhým územím (číslo 2 na obrázku) </w:t>
      </w:r>
      <w:proofErr w:type="gramStart"/>
      <w:r>
        <w:rPr>
          <w:sz w:val="24"/>
          <w:szCs w:val="24"/>
        </w:rPr>
        <w:t>je ,</w:t>
      </w:r>
      <w:r w:rsidRPr="008040FB">
        <w:rPr>
          <w:sz w:val="24"/>
          <w:szCs w:val="24"/>
        </w:rPr>
        <w:t>,</w:t>
      </w:r>
      <w:r>
        <w:rPr>
          <w:sz w:val="24"/>
          <w:szCs w:val="24"/>
        </w:rPr>
        <w:t>Rakovník</w:t>
      </w:r>
      <w:proofErr w:type="gramEnd"/>
      <w:r w:rsidRPr="008040FB">
        <w:rPr>
          <w:sz w:val="24"/>
          <w:szCs w:val="24"/>
        </w:rPr>
        <w:t>“</w:t>
      </w:r>
      <w:r>
        <w:rPr>
          <w:sz w:val="24"/>
          <w:szCs w:val="24"/>
        </w:rPr>
        <w:t>, dříve nazývaný ,</w:t>
      </w:r>
      <w:r w:rsidRPr="008040FB">
        <w:rPr>
          <w:sz w:val="24"/>
          <w:szCs w:val="24"/>
        </w:rPr>
        <w:t>,</w:t>
      </w:r>
      <w:r>
        <w:rPr>
          <w:sz w:val="24"/>
          <w:szCs w:val="24"/>
        </w:rPr>
        <w:t>Na Zátiší</w:t>
      </w:r>
      <w:r w:rsidRPr="008040FB">
        <w:rPr>
          <w:sz w:val="24"/>
          <w:szCs w:val="24"/>
        </w:rPr>
        <w:t>“</w:t>
      </w:r>
      <w:r>
        <w:rPr>
          <w:sz w:val="24"/>
          <w:szCs w:val="24"/>
        </w:rPr>
        <w:t xml:space="preserve">. Posledním územím zasaženým stavbou (číslo 3 na obrázku) se </w:t>
      </w:r>
      <w:proofErr w:type="gramStart"/>
      <w:r>
        <w:rPr>
          <w:sz w:val="24"/>
          <w:szCs w:val="24"/>
        </w:rPr>
        <w:t>nazývá ,,Rakovník</w:t>
      </w:r>
      <w:proofErr w:type="gramEnd"/>
      <w:r>
        <w:rPr>
          <w:sz w:val="24"/>
          <w:szCs w:val="24"/>
        </w:rPr>
        <w:t xml:space="preserve"> – Na spravedlnosti“</w:t>
      </w:r>
      <w:r w:rsidRPr="008040FB">
        <w:rPr>
          <w:sz w:val="24"/>
          <w:szCs w:val="24"/>
        </w:rPr>
        <w:t>.</w:t>
      </w:r>
      <w:r>
        <w:rPr>
          <w:sz w:val="24"/>
          <w:szCs w:val="24"/>
        </w:rPr>
        <w:t xml:space="preserve"> Jedná se o doly, ve kterých bylo těženo černé uhlí a jílovec, místně nazývaný jako tzv. lupek. Těžba byla ukončena v 50. letech 20. století. V současnosti v okolí pokračuje těžba lupku v dole </w:t>
      </w:r>
      <w:proofErr w:type="spellStart"/>
      <w:r>
        <w:rPr>
          <w:sz w:val="24"/>
          <w:szCs w:val="24"/>
        </w:rPr>
        <w:t>Rako</w:t>
      </w:r>
      <w:proofErr w:type="spellEnd"/>
      <w:r>
        <w:rPr>
          <w:sz w:val="24"/>
          <w:szCs w:val="24"/>
        </w:rPr>
        <w:t xml:space="preserve">, který se nachází mezi Rakovníkem a Pavlíkovem (cca 1,2 km od plánované trasy). </w:t>
      </w:r>
    </w:p>
    <w:p w14:paraId="39706428" w14:textId="77777777" w:rsidR="000942AA" w:rsidRDefault="000942AA" w:rsidP="000942AA">
      <w:pPr>
        <w:spacing w:line="276" w:lineRule="auto"/>
        <w:jc w:val="both"/>
        <w:rPr>
          <w:sz w:val="24"/>
          <w:szCs w:val="24"/>
        </w:rPr>
      </w:pPr>
    </w:p>
    <w:p w14:paraId="27BF2B2C" w14:textId="77777777" w:rsidR="000942AA" w:rsidRDefault="000942AA" w:rsidP="000942AA">
      <w:pPr>
        <w:spacing w:line="276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7762ACC" wp14:editId="6B54BA62">
            <wp:extent cx="5760720" cy="30937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80C40" w14:textId="77777777" w:rsidR="000942AA" w:rsidRPr="008278AC" w:rsidRDefault="000942AA" w:rsidP="000942AA">
      <w:pPr>
        <w:jc w:val="both"/>
        <w:rPr>
          <w:sz w:val="22"/>
          <w:szCs w:val="22"/>
        </w:rPr>
      </w:pPr>
      <w:r w:rsidRPr="008278AC">
        <w:rPr>
          <w:sz w:val="22"/>
          <w:szCs w:val="22"/>
        </w:rPr>
        <w:t xml:space="preserve">Obrázek </w:t>
      </w:r>
      <w:r>
        <w:rPr>
          <w:sz w:val="22"/>
          <w:szCs w:val="22"/>
        </w:rPr>
        <w:t>2</w:t>
      </w:r>
      <w:r w:rsidRPr="008278AC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Důlní díla v okolí plánované </w:t>
      </w:r>
      <w:r w:rsidRPr="008278AC">
        <w:rPr>
          <w:sz w:val="22"/>
          <w:szCs w:val="22"/>
        </w:rPr>
        <w:t xml:space="preserve">trasy, </w:t>
      </w:r>
      <w:proofErr w:type="gramStart"/>
      <w:r w:rsidRPr="00E747D6">
        <w:rPr>
          <w:sz w:val="22"/>
          <w:szCs w:val="22"/>
        </w:rPr>
        <w:t>mapy</w:t>
      </w:r>
      <w:proofErr w:type="gramEnd"/>
      <w:r w:rsidRPr="00E747D6">
        <w:rPr>
          <w:sz w:val="22"/>
          <w:szCs w:val="22"/>
        </w:rPr>
        <w:t>.</w:t>
      </w:r>
      <w:proofErr w:type="gramStart"/>
      <w:r w:rsidRPr="00E747D6">
        <w:rPr>
          <w:sz w:val="22"/>
          <w:szCs w:val="22"/>
        </w:rPr>
        <w:t>geology</w:t>
      </w:r>
      <w:proofErr w:type="gramEnd"/>
      <w:r w:rsidRPr="00E747D6">
        <w:rPr>
          <w:sz w:val="22"/>
          <w:szCs w:val="22"/>
        </w:rPr>
        <w:t>.cz/</w:t>
      </w:r>
      <w:proofErr w:type="spellStart"/>
      <w:r w:rsidRPr="00E747D6">
        <w:rPr>
          <w:sz w:val="22"/>
          <w:szCs w:val="22"/>
        </w:rPr>
        <w:t>dulni_dila_poddolovani</w:t>
      </w:r>
      <w:proofErr w:type="spellEnd"/>
      <w:r w:rsidRPr="00E747D6">
        <w:rPr>
          <w:sz w:val="22"/>
          <w:szCs w:val="22"/>
        </w:rPr>
        <w:t>/</w:t>
      </w:r>
      <w:r w:rsidRPr="008278AC">
        <w:rPr>
          <w:sz w:val="22"/>
          <w:szCs w:val="22"/>
        </w:rPr>
        <w:t>, upraveno.</w:t>
      </w:r>
    </w:p>
    <w:p w14:paraId="402AE837" w14:textId="77777777" w:rsidR="000942AA" w:rsidRDefault="000942AA" w:rsidP="000942AA">
      <w:pPr>
        <w:spacing w:line="276" w:lineRule="auto"/>
        <w:jc w:val="both"/>
        <w:rPr>
          <w:sz w:val="24"/>
          <w:szCs w:val="24"/>
        </w:rPr>
      </w:pPr>
    </w:p>
    <w:p w14:paraId="491B4E49" w14:textId="77777777" w:rsidR="000942AA" w:rsidRDefault="000942AA" w:rsidP="000942AA">
      <w:pPr>
        <w:spacing w:line="276" w:lineRule="auto"/>
        <w:jc w:val="both"/>
        <w:rPr>
          <w:sz w:val="24"/>
          <w:szCs w:val="24"/>
        </w:rPr>
      </w:pPr>
    </w:p>
    <w:p w14:paraId="37972B39" w14:textId="77777777" w:rsidR="000942AA" w:rsidRDefault="000942AA" w:rsidP="000942A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archivním průzkumu </w:t>
      </w:r>
      <w:r w:rsidRPr="008040FB">
        <w:rPr>
          <w:sz w:val="24"/>
          <w:szCs w:val="24"/>
        </w:rPr>
        <w:t xml:space="preserve">bylo zjištěno, že bude dotčena ochrana výhradních ložisek v dobývacích </w:t>
      </w:r>
      <w:proofErr w:type="gramStart"/>
      <w:r w:rsidRPr="008040FB">
        <w:rPr>
          <w:sz w:val="24"/>
          <w:szCs w:val="24"/>
        </w:rPr>
        <w:t>prostorech ,,Lubná</w:t>
      </w:r>
      <w:proofErr w:type="gramEnd"/>
      <w:r w:rsidRPr="008040FB">
        <w:rPr>
          <w:sz w:val="24"/>
          <w:szCs w:val="24"/>
        </w:rPr>
        <w:t xml:space="preserve"> I“</w:t>
      </w:r>
      <w:r>
        <w:rPr>
          <w:sz w:val="24"/>
          <w:szCs w:val="24"/>
        </w:rPr>
        <w:t xml:space="preserve">, </w:t>
      </w:r>
      <w:r w:rsidRPr="008040FB">
        <w:rPr>
          <w:sz w:val="24"/>
          <w:szCs w:val="24"/>
        </w:rPr>
        <w:t>,,Lubná II“ a ,,Rakovník I“</w:t>
      </w:r>
      <w:r>
        <w:rPr>
          <w:sz w:val="24"/>
          <w:szCs w:val="24"/>
        </w:rPr>
        <w:t xml:space="preserve"> (Zeman – INGEO Praha, 2008)</w:t>
      </w:r>
    </w:p>
    <w:p w14:paraId="3D620858" w14:textId="7BAF6701" w:rsidR="000942AA" w:rsidRDefault="000942AA" w:rsidP="000942AA">
      <w:pPr>
        <w:spacing w:line="276" w:lineRule="auto"/>
        <w:jc w:val="both"/>
        <w:rPr>
          <w:sz w:val="24"/>
          <w:szCs w:val="24"/>
          <w:highlight w:val="yellow"/>
        </w:rPr>
      </w:pPr>
      <w:r w:rsidRPr="001C2BAB">
        <w:rPr>
          <w:sz w:val="24"/>
          <w:szCs w:val="24"/>
        </w:rPr>
        <w:t>V posuzovaném území nejsou evidovány žádné aktivní ani potenciální sesuvy, ani nejsou známé žádné jiné svahové deformace. Vzhledem k charakteru reliéfu není předpoklad k zvýšeným svahovým pohybům</w:t>
      </w:r>
      <w:r w:rsidR="00F11A42">
        <w:rPr>
          <w:sz w:val="24"/>
          <w:szCs w:val="24"/>
        </w:rPr>
        <w:t>, nicméně mohlo by dojít k ovlivnění podzemních vod</w:t>
      </w:r>
      <w:r w:rsidRPr="001C2BAB">
        <w:rPr>
          <w:sz w:val="24"/>
          <w:szCs w:val="24"/>
        </w:rPr>
        <w:t xml:space="preserve">. </w:t>
      </w:r>
      <w:r>
        <w:rPr>
          <w:sz w:val="24"/>
          <w:szCs w:val="24"/>
          <w:highlight w:val="yellow"/>
        </w:rPr>
        <w:t xml:space="preserve"> </w:t>
      </w:r>
    </w:p>
    <w:p w14:paraId="5CABFA95" w14:textId="74E6DB40" w:rsidR="000942AA" w:rsidRDefault="000942AA" w:rsidP="009C7860">
      <w:pPr>
        <w:pStyle w:val="Nadpis1"/>
      </w:pPr>
    </w:p>
    <w:p w14:paraId="72C481CB" w14:textId="77777777" w:rsidR="000942AA" w:rsidRDefault="000942AA" w:rsidP="009C7860">
      <w:pPr>
        <w:pStyle w:val="Nadpis1"/>
      </w:pPr>
    </w:p>
    <w:p w14:paraId="7476466D" w14:textId="7B1BE9D7" w:rsidR="000942AA" w:rsidRDefault="000942AA" w:rsidP="000942AA"/>
    <w:p w14:paraId="78E6DAD5" w14:textId="4B6615CA" w:rsidR="000314B3" w:rsidRDefault="000314B3" w:rsidP="000942AA"/>
    <w:p w14:paraId="265EBC54" w14:textId="77777777" w:rsidR="000314B3" w:rsidRPr="000942AA" w:rsidRDefault="000314B3" w:rsidP="000942AA"/>
    <w:p w14:paraId="584B757E" w14:textId="77777777" w:rsidR="004B7DA9" w:rsidRPr="00C13B7C" w:rsidRDefault="004B7DA9" w:rsidP="00DD3542">
      <w:pPr>
        <w:jc w:val="both"/>
        <w:rPr>
          <w:sz w:val="24"/>
          <w:szCs w:val="24"/>
          <w:highlight w:val="yellow"/>
        </w:rPr>
      </w:pPr>
    </w:p>
    <w:p w14:paraId="7EAB691A" w14:textId="18C83E99" w:rsidR="00BB70B4" w:rsidRPr="00D336BD" w:rsidRDefault="00174DCB" w:rsidP="00BB70B4">
      <w:pPr>
        <w:pStyle w:val="Nadpis1"/>
      </w:pPr>
      <w:bookmarkStart w:id="4" w:name="_Toc500231584"/>
      <w:bookmarkStart w:id="5" w:name="_Toc37165906"/>
      <w:r>
        <w:lastRenderedPageBreak/>
        <w:t>3</w:t>
      </w:r>
      <w:r w:rsidR="00BB70B4" w:rsidRPr="00D336BD">
        <w:t xml:space="preserve">. </w:t>
      </w:r>
      <w:r w:rsidR="003F1F1C" w:rsidRPr="00D336BD">
        <w:t>Přírodní poměry zájmové oblasti</w:t>
      </w:r>
      <w:bookmarkEnd w:id="4"/>
      <w:bookmarkEnd w:id="5"/>
    </w:p>
    <w:p w14:paraId="10EBFCDD" w14:textId="4EC57208" w:rsidR="007D7855" w:rsidRPr="003166D4" w:rsidRDefault="00174DCB" w:rsidP="00BB70B4">
      <w:pPr>
        <w:pStyle w:val="Nadpis2"/>
        <w:rPr>
          <w:sz w:val="24"/>
          <w:szCs w:val="24"/>
        </w:rPr>
      </w:pPr>
      <w:bookmarkStart w:id="6" w:name="_Toc37165907"/>
      <w:r>
        <w:t>3</w:t>
      </w:r>
      <w:r w:rsidR="00EC0CE5" w:rsidRPr="00D336BD">
        <w:t>.</w:t>
      </w:r>
      <w:r w:rsidR="004C7086" w:rsidRPr="003166D4">
        <w:t xml:space="preserve">1 </w:t>
      </w:r>
      <w:r w:rsidR="001B422C" w:rsidRPr="003166D4">
        <w:t>Geografie a g</w:t>
      </w:r>
      <w:r w:rsidR="00711DA2" w:rsidRPr="003166D4">
        <w:t>eomorfologické poměry</w:t>
      </w:r>
      <w:bookmarkEnd w:id="6"/>
    </w:p>
    <w:p w14:paraId="48506BD9" w14:textId="77777777" w:rsidR="001B422C" w:rsidRPr="003166D4" w:rsidRDefault="001B422C" w:rsidP="00722AA0">
      <w:pPr>
        <w:spacing w:line="276" w:lineRule="auto"/>
        <w:jc w:val="both"/>
        <w:rPr>
          <w:sz w:val="24"/>
          <w:szCs w:val="24"/>
        </w:rPr>
      </w:pPr>
      <w:r w:rsidRPr="003166D4">
        <w:rPr>
          <w:sz w:val="24"/>
          <w:szCs w:val="24"/>
        </w:rPr>
        <w:t xml:space="preserve">Zájmová oblast spadá do </w:t>
      </w:r>
      <w:r w:rsidR="002659D1" w:rsidRPr="003166D4">
        <w:rPr>
          <w:sz w:val="24"/>
          <w:szCs w:val="24"/>
        </w:rPr>
        <w:t>Středočeského</w:t>
      </w:r>
      <w:r w:rsidRPr="003166D4">
        <w:rPr>
          <w:sz w:val="24"/>
          <w:szCs w:val="24"/>
        </w:rPr>
        <w:t xml:space="preserve"> kraje, okresu </w:t>
      </w:r>
      <w:r w:rsidR="002659D1" w:rsidRPr="003166D4">
        <w:rPr>
          <w:sz w:val="24"/>
          <w:szCs w:val="24"/>
        </w:rPr>
        <w:t>Rakovník</w:t>
      </w:r>
      <w:r w:rsidRPr="003166D4">
        <w:rPr>
          <w:sz w:val="24"/>
          <w:szCs w:val="24"/>
        </w:rPr>
        <w:t xml:space="preserve"> a katastráln</w:t>
      </w:r>
      <w:r w:rsidR="002659D1" w:rsidRPr="003166D4">
        <w:rPr>
          <w:sz w:val="24"/>
          <w:szCs w:val="24"/>
        </w:rPr>
        <w:t>ího území obce Rakovník</w:t>
      </w:r>
      <w:r w:rsidRPr="003166D4">
        <w:rPr>
          <w:sz w:val="24"/>
          <w:szCs w:val="24"/>
        </w:rPr>
        <w:t>.</w:t>
      </w:r>
    </w:p>
    <w:p w14:paraId="50463B33" w14:textId="77777777" w:rsidR="004B3394" w:rsidRPr="003166D4" w:rsidRDefault="004B3394" w:rsidP="00722AA0">
      <w:pPr>
        <w:spacing w:line="276" w:lineRule="auto"/>
        <w:jc w:val="both"/>
        <w:rPr>
          <w:sz w:val="24"/>
          <w:szCs w:val="24"/>
        </w:rPr>
      </w:pPr>
    </w:p>
    <w:p w14:paraId="3159E56D" w14:textId="77777777" w:rsidR="00711DA2" w:rsidRPr="003166D4" w:rsidRDefault="00F94632" w:rsidP="00722AA0">
      <w:pPr>
        <w:spacing w:line="276" w:lineRule="auto"/>
        <w:jc w:val="both"/>
        <w:rPr>
          <w:sz w:val="24"/>
          <w:szCs w:val="24"/>
        </w:rPr>
      </w:pPr>
      <w:r w:rsidRPr="003166D4">
        <w:rPr>
          <w:sz w:val="24"/>
          <w:szCs w:val="24"/>
        </w:rPr>
        <w:t>Z hlediska geomorfologie z</w:t>
      </w:r>
      <w:r w:rsidR="00711DA2" w:rsidRPr="003166D4">
        <w:rPr>
          <w:sz w:val="24"/>
          <w:szCs w:val="24"/>
        </w:rPr>
        <w:t xml:space="preserve">ájmová oblast spadá do oblasti </w:t>
      </w:r>
      <w:r w:rsidR="00117D87" w:rsidRPr="003166D4">
        <w:rPr>
          <w:sz w:val="24"/>
          <w:szCs w:val="24"/>
        </w:rPr>
        <w:t>Rakovnické pahorkatiny</w:t>
      </w:r>
      <w:r w:rsidR="00711DA2" w:rsidRPr="003166D4">
        <w:rPr>
          <w:sz w:val="24"/>
          <w:szCs w:val="24"/>
        </w:rPr>
        <w:t>.</w:t>
      </w:r>
      <w:r w:rsidR="00360566" w:rsidRPr="003166D4">
        <w:rPr>
          <w:sz w:val="24"/>
          <w:szCs w:val="24"/>
        </w:rPr>
        <w:t xml:space="preserve"> Ta </w:t>
      </w:r>
      <w:r w:rsidR="00117D87" w:rsidRPr="003166D4">
        <w:rPr>
          <w:sz w:val="24"/>
          <w:szCs w:val="24"/>
        </w:rPr>
        <w:t>tvoří severní část Plzeňské pahorkatiny</w:t>
      </w:r>
      <w:r w:rsidR="00360566" w:rsidRPr="003166D4">
        <w:rPr>
          <w:sz w:val="24"/>
          <w:szCs w:val="24"/>
        </w:rPr>
        <w:t>.</w:t>
      </w:r>
      <w:r w:rsidR="00D336BD" w:rsidRPr="003166D4">
        <w:rPr>
          <w:sz w:val="24"/>
          <w:szCs w:val="24"/>
        </w:rPr>
        <w:t xml:space="preserve"> Jedná se o oblast</w:t>
      </w:r>
      <w:r w:rsidR="00BE6F61" w:rsidRPr="003166D4">
        <w:rPr>
          <w:sz w:val="24"/>
          <w:szCs w:val="24"/>
        </w:rPr>
        <w:t xml:space="preserve"> se ze</w:t>
      </w:r>
      <w:r w:rsidR="00D336BD" w:rsidRPr="003166D4">
        <w:rPr>
          <w:sz w:val="24"/>
          <w:szCs w:val="24"/>
        </w:rPr>
        <w:t>mědělsky využívanou krajinou s nízkým stupněm industrializace, s</w:t>
      </w:r>
      <w:r w:rsidR="00BE6F61" w:rsidRPr="003166D4">
        <w:rPr>
          <w:sz w:val="24"/>
          <w:szCs w:val="24"/>
        </w:rPr>
        <w:t xml:space="preserve">e střední nadmořskou výškou </w:t>
      </w:r>
      <w:r w:rsidR="00BC5860" w:rsidRPr="003166D4">
        <w:rPr>
          <w:sz w:val="24"/>
          <w:szCs w:val="24"/>
        </w:rPr>
        <w:t>439</w:t>
      </w:r>
      <w:r w:rsidR="00BE6F61" w:rsidRPr="003166D4">
        <w:rPr>
          <w:sz w:val="24"/>
          <w:szCs w:val="24"/>
        </w:rPr>
        <w:t>,</w:t>
      </w:r>
      <w:r w:rsidR="00BC5860" w:rsidRPr="003166D4">
        <w:rPr>
          <w:sz w:val="24"/>
          <w:szCs w:val="24"/>
        </w:rPr>
        <w:t>6</w:t>
      </w:r>
      <w:r w:rsidR="00BE6F61" w:rsidRPr="003166D4">
        <w:rPr>
          <w:sz w:val="24"/>
          <w:szCs w:val="24"/>
        </w:rPr>
        <w:t xml:space="preserve"> m a rozlohou 1</w:t>
      </w:r>
      <w:r w:rsidR="00BC5860" w:rsidRPr="003166D4">
        <w:rPr>
          <w:sz w:val="24"/>
          <w:szCs w:val="24"/>
        </w:rPr>
        <w:t>003</w:t>
      </w:r>
      <w:r w:rsidR="00BE6F61" w:rsidRPr="003166D4">
        <w:rPr>
          <w:sz w:val="24"/>
          <w:szCs w:val="24"/>
        </w:rPr>
        <w:t xml:space="preserve"> km</w:t>
      </w:r>
      <w:r w:rsidR="00BE6F61" w:rsidRPr="003166D4">
        <w:rPr>
          <w:sz w:val="24"/>
          <w:szCs w:val="24"/>
          <w:vertAlign w:val="superscript"/>
        </w:rPr>
        <w:t>2</w:t>
      </w:r>
      <w:r w:rsidR="00BE6F61" w:rsidRPr="003166D4">
        <w:rPr>
          <w:sz w:val="24"/>
          <w:szCs w:val="24"/>
        </w:rPr>
        <w:t xml:space="preserve">. </w:t>
      </w:r>
      <w:r w:rsidR="00D336BD" w:rsidRPr="003166D4">
        <w:rPr>
          <w:sz w:val="24"/>
          <w:szCs w:val="24"/>
        </w:rPr>
        <w:t>Rakovnická pahorkatina náleží k povodí řeky Berounky, nejvýznamnější toky zde představují její levé přítoky Střela a Rakovnický potok, který přímo protíná zájmovou oblast, severní okraj pahorkatiny je odvodňován do Ohře říčkou Blšankou.</w:t>
      </w:r>
      <w:r w:rsidR="00711DA2" w:rsidRPr="003166D4">
        <w:rPr>
          <w:sz w:val="24"/>
          <w:szCs w:val="24"/>
        </w:rPr>
        <w:t xml:space="preserve"> </w:t>
      </w:r>
    </w:p>
    <w:p w14:paraId="60C34E87" w14:textId="77777777" w:rsidR="007D7855" w:rsidRPr="003166D4" w:rsidRDefault="007D7855" w:rsidP="00DD3542">
      <w:pPr>
        <w:jc w:val="both"/>
        <w:rPr>
          <w:sz w:val="24"/>
          <w:szCs w:val="24"/>
        </w:rPr>
      </w:pPr>
    </w:p>
    <w:p w14:paraId="3FA87945" w14:textId="34BD26B6" w:rsidR="00645DCE" w:rsidRPr="003166D4" w:rsidRDefault="00174DCB" w:rsidP="003166D4">
      <w:pPr>
        <w:pStyle w:val="Nadpis2"/>
      </w:pPr>
      <w:bookmarkStart w:id="7" w:name="_Toc500231586"/>
      <w:bookmarkStart w:id="8" w:name="_Toc37165908"/>
      <w:r>
        <w:t>3</w:t>
      </w:r>
      <w:r w:rsidR="004C7086" w:rsidRPr="003166D4">
        <w:t xml:space="preserve">.2 </w:t>
      </w:r>
      <w:r w:rsidR="00711DA2" w:rsidRPr="003166D4">
        <w:t>Geologické poměr</w:t>
      </w:r>
      <w:r w:rsidR="00BB70B4" w:rsidRPr="003166D4">
        <w:t>y</w:t>
      </w:r>
      <w:bookmarkEnd w:id="7"/>
      <w:bookmarkEnd w:id="8"/>
    </w:p>
    <w:p w14:paraId="3D4118F1" w14:textId="44591ADB" w:rsidR="009F1325" w:rsidRPr="00645DCE" w:rsidRDefault="009F1325" w:rsidP="00722AA0">
      <w:pPr>
        <w:spacing w:line="276" w:lineRule="auto"/>
        <w:jc w:val="both"/>
        <w:rPr>
          <w:sz w:val="24"/>
          <w:szCs w:val="24"/>
        </w:rPr>
      </w:pPr>
      <w:r w:rsidRPr="003166D4">
        <w:rPr>
          <w:sz w:val="24"/>
          <w:szCs w:val="24"/>
        </w:rPr>
        <w:t>Zájmové území leží na jihovýchodním okraji rozsáhlé pánve, označované jako rakovnická kotlina, která je součástí Rakovnické</w:t>
      </w:r>
      <w:r w:rsidRPr="00645DCE">
        <w:rPr>
          <w:sz w:val="24"/>
          <w:szCs w:val="24"/>
        </w:rPr>
        <w:t xml:space="preserve"> pahorkatiny. Průměrná nadmořská výška se pohybuje kolem 350 m n. m. Povrch údolní nivy </w:t>
      </w:r>
      <w:proofErr w:type="gramStart"/>
      <w:r w:rsidRPr="00645DCE">
        <w:rPr>
          <w:sz w:val="24"/>
          <w:szCs w:val="24"/>
        </w:rPr>
        <w:t>je</w:t>
      </w:r>
      <w:proofErr w:type="gramEnd"/>
      <w:r w:rsidRPr="00645DCE">
        <w:rPr>
          <w:sz w:val="24"/>
          <w:szCs w:val="24"/>
        </w:rPr>
        <w:t xml:space="preserve"> nejníže položeným místem</w:t>
      </w:r>
      <w:r>
        <w:rPr>
          <w:sz w:val="24"/>
          <w:szCs w:val="24"/>
        </w:rPr>
        <w:t xml:space="preserve"> </w:t>
      </w:r>
      <w:r w:rsidR="00F11A42">
        <w:rPr>
          <w:sz w:val="24"/>
          <w:szCs w:val="24"/>
        </w:rPr>
        <w:t>cca 312 m n. m. j</w:t>
      </w:r>
      <w:r w:rsidRPr="00645DCE">
        <w:rPr>
          <w:sz w:val="24"/>
          <w:szCs w:val="24"/>
        </w:rPr>
        <w:t xml:space="preserve">sou zde zastoupeny horniny různého stáří. Nejstarší jsou algonkické břidlice a droby kralupsko-zbraslavské skupiny </w:t>
      </w:r>
      <w:proofErr w:type="spellStart"/>
      <w:r w:rsidRPr="00645DCE">
        <w:rPr>
          <w:sz w:val="24"/>
          <w:szCs w:val="24"/>
        </w:rPr>
        <w:t>svrchnoproterozoického</w:t>
      </w:r>
      <w:proofErr w:type="spellEnd"/>
      <w:r w:rsidRPr="00645DCE">
        <w:rPr>
          <w:sz w:val="24"/>
          <w:szCs w:val="24"/>
        </w:rPr>
        <w:t xml:space="preserve"> stáří. Mladší jsou karbonské horniny spodních (kladenských) šedých a spodních (týneckých) červených vrstev. Tyto sedimenty jsou na některých místech překryty neogenními uloženinami, </w:t>
      </w:r>
      <w:proofErr w:type="spellStart"/>
      <w:r w:rsidRPr="00645DCE">
        <w:rPr>
          <w:sz w:val="24"/>
          <w:szCs w:val="24"/>
        </w:rPr>
        <w:t>hlavačovsk</w:t>
      </w:r>
      <w:r w:rsidR="00AE1DF2">
        <w:rPr>
          <w:sz w:val="24"/>
          <w:szCs w:val="24"/>
        </w:rPr>
        <w:t>ý</w:t>
      </w:r>
      <w:r w:rsidRPr="00645DCE">
        <w:rPr>
          <w:sz w:val="24"/>
          <w:szCs w:val="24"/>
        </w:rPr>
        <w:t>mi</w:t>
      </w:r>
      <w:proofErr w:type="spellEnd"/>
      <w:r w:rsidRPr="00645DCE">
        <w:rPr>
          <w:sz w:val="24"/>
          <w:szCs w:val="24"/>
        </w:rPr>
        <w:t xml:space="preserve"> (rakovnickými) štěrky. Z pokryvných útvarů jsou nejvíce zastoupeny</w:t>
      </w:r>
      <w:r>
        <w:rPr>
          <w:sz w:val="24"/>
          <w:szCs w:val="24"/>
        </w:rPr>
        <w:t xml:space="preserve"> </w:t>
      </w:r>
      <w:proofErr w:type="spellStart"/>
      <w:r w:rsidRPr="00645DCE">
        <w:rPr>
          <w:sz w:val="24"/>
          <w:szCs w:val="24"/>
        </w:rPr>
        <w:t>deluviální</w:t>
      </w:r>
      <w:proofErr w:type="spellEnd"/>
      <w:r w:rsidRPr="00645DCE">
        <w:rPr>
          <w:sz w:val="24"/>
          <w:szCs w:val="24"/>
        </w:rPr>
        <w:t xml:space="preserve"> hlinité písky a písčité hlíny, velké akumulace též vytvářejí terasovité uloženiny Rakovnického potoka a nemalé zastoupení mají též náplavy menších vodotečí.</w:t>
      </w:r>
    </w:p>
    <w:p w14:paraId="0566BD55" w14:textId="77777777" w:rsidR="004A630D" w:rsidRPr="001A589C" w:rsidRDefault="004A630D" w:rsidP="00DD3542">
      <w:pPr>
        <w:jc w:val="both"/>
        <w:rPr>
          <w:sz w:val="24"/>
          <w:szCs w:val="24"/>
        </w:rPr>
      </w:pPr>
    </w:p>
    <w:p w14:paraId="517A08F2" w14:textId="51E78498" w:rsidR="007F3F7D" w:rsidRPr="001A589C" w:rsidRDefault="00174DCB" w:rsidP="00BB70B4">
      <w:pPr>
        <w:pStyle w:val="Nadpis2"/>
        <w:rPr>
          <w:sz w:val="24"/>
          <w:szCs w:val="24"/>
        </w:rPr>
      </w:pPr>
      <w:bookmarkStart w:id="9" w:name="_Toc500231587"/>
      <w:bookmarkStart w:id="10" w:name="_Toc37165909"/>
      <w:r>
        <w:t>3</w:t>
      </w:r>
      <w:r w:rsidR="004C7086" w:rsidRPr="001A589C">
        <w:t xml:space="preserve">.3 </w:t>
      </w:r>
      <w:r w:rsidR="00285B02" w:rsidRPr="001A589C">
        <w:t>Klimatické poměry</w:t>
      </w:r>
      <w:bookmarkEnd w:id="9"/>
      <w:bookmarkEnd w:id="10"/>
    </w:p>
    <w:p w14:paraId="51B6060D" w14:textId="77777777" w:rsidR="00814058" w:rsidRPr="001A589C" w:rsidRDefault="00285B02" w:rsidP="00722AA0">
      <w:pPr>
        <w:tabs>
          <w:tab w:val="left" w:pos="2361"/>
        </w:tabs>
        <w:spacing w:line="276" w:lineRule="auto"/>
        <w:jc w:val="both"/>
        <w:rPr>
          <w:b/>
          <w:sz w:val="24"/>
          <w:szCs w:val="24"/>
        </w:rPr>
      </w:pPr>
      <w:r w:rsidRPr="001A589C">
        <w:rPr>
          <w:sz w:val="24"/>
          <w:szCs w:val="24"/>
        </w:rPr>
        <w:t xml:space="preserve">Zájmová oblast spadá do teplé oblasti </w:t>
      </w:r>
      <w:r w:rsidR="001A589C" w:rsidRPr="001A589C">
        <w:rPr>
          <w:sz w:val="24"/>
          <w:szCs w:val="24"/>
        </w:rPr>
        <w:t>M</w:t>
      </w:r>
      <w:r w:rsidRPr="001A589C">
        <w:rPr>
          <w:sz w:val="24"/>
          <w:szCs w:val="24"/>
        </w:rPr>
        <w:t>T</w:t>
      </w:r>
      <w:r w:rsidR="001A589C" w:rsidRPr="001A589C">
        <w:rPr>
          <w:sz w:val="24"/>
          <w:szCs w:val="24"/>
        </w:rPr>
        <w:t>11</w:t>
      </w:r>
      <w:r w:rsidRPr="001A589C">
        <w:rPr>
          <w:sz w:val="24"/>
          <w:szCs w:val="24"/>
        </w:rPr>
        <w:t xml:space="preserve"> s ročním průměrem teplot mezi </w:t>
      </w:r>
      <w:r w:rsidR="001A589C" w:rsidRPr="001A589C">
        <w:rPr>
          <w:sz w:val="24"/>
          <w:szCs w:val="24"/>
        </w:rPr>
        <w:t>7</w:t>
      </w:r>
      <w:r w:rsidRPr="001A589C">
        <w:rPr>
          <w:sz w:val="24"/>
          <w:szCs w:val="24"/>
        </w:rPr>
        <w:t xml:space="preserve"> až </w:t>
      </w:r>
      <w:r w:rsidR="001A589C" w:rsidRPr="001A589C">
        <w:rPr>
          <w:sz w:val="24"/>
          <w:szCs w:val="24"/>
        </w:rPr>
        <w:t>8</w:t>
      </w:r>
      <w:r w:rsidRPr="001A589C">
        <w:rPr>
          <w:sz w:val="24"/>
          <w:szCs w:val="24"/>
        </w:rPr>
        <w:t xml:space="preserve"> </w:t>
      </w:r>
      <w:r w:rsidRPr="001A589C">
        <w:rPr>
          <w:sz w:val="24"/>
          <w:szCs w:val="24"/>
          <w:shd w:val="clear" w:color="auto" w:fill="FFFFFF"/>
        </w:rPr>
        <w:t>°C</w:t>
      </w:r>
      <w:r w:rsidRPr="001A589C">
        <w:rPr>
          <w:sz w:val="24"/>
          <w:szCs w:val="24"/>
        </w:rPr>
        <w:t xml:space="preserve">. Průměrná teplota nejteplejšího měsíce se pohybuje kolem </w:t>
      </w:r>
      <w:r w:rsidR="001A589C" w:rsidRPr="001A589C">
        <w:rPr>
          <w:sz w:val="24"/>
          <w:szCs w:val="24"/>
        </w:rPr>
        <w:t>17</w:t>
      </w:r>
      <w:r w:rsidR="00D064C8">
        <w:rPr>
          <w:sz w:val="24"/>
          <w:szCs w:val="24"/>
        </w:rPr>
        <w:t xml:space="preserve"> až </w:t>
      </w:r>
      <w:r w:rsidR="001A589C" w:rsidRPr="001A589C">
        <w:rPr>
          <w:sz w:val="24"/>
          <w:szCs w:val="24"/>
        </w:rPr>
        <w:t>18</w:t>
      </w:r>
      <w:r w:rsidRPr="001A589C">
        <w:rPr>
          <w:sz w:val="24"/>
          <w:szCs w:val="24"/>
        </w:rPr>
        <w:t xml:space="preserve"> °C a průměrná teplota nechladnějšího měsíce se pohybuje kolem -</w:t>
      </w:r>
      <w:r w:rsidR="001A589C" w:rsidRPr="001A589C">
        <w:rPr>
          <w:sz w:val="24"/>
          <w:szCs w:val="24"/>
        </w:rPr>
        <w:t>2,5</w:t>
      </w:r>
      <w:r w:rsidRPr="001A589C">
        <w:rPr>
          <w:sz w:val="24"/>
          <w:szCs w:val="24"/>
        </w:rPr>
        <w:t xml:space="preserve"> °C. Průměrné množství srážek se pohybuje mezi 5</w:t>
      </w:r>
      <w:r w:rsidR="001A589C" w:rsidRPr="001A589C">
        <w:rPr>
          <w:sz w:val="24"/>
          <w:szCs w:val="24"/>
        </w:rPr>
        <w:t>50</w:t>
      </w:r>
      <w:r w:rsidRPr="001A589C">
        <w:rPr>
          <w:sz w:val="24"/>
          <w:szCs w:val="24"/>
        </w:rPr>
        <w:t xml:space="preserve"> a 6</w:t>
      </w:r>
      <w:r w:rsidR="001A589C" w:rsidRPr="001A589C">
        <w:rPr>
          <w:sz w:val="24"/>
          <w:szCs w:val="24"/>
        </w:rPr>
        <w:t>50</w:t>
      </w:r>
      <w:r w:rsidRPr="001A589C">
        <w:rPr>
          <w:sz w:val="24"/>
          <w:szCs w:val="24"/>
        </w:rPr>
        <w:t xml:space="preserve"> mm za rok. Většina srážek spadne v letním období a na jaře.</w:t>
      </w:r>
    </w:p>
    <w:p w14:paraId="4F130E44" w14:textId="77777777" w:rsidR="00141400" w:rsidRPr="00C13B7C" w:rsidRDefault="00141400" w:rsidP="00DD3542">
      <w:pPr>
        <w:jc w:val="both"/>
        <w:rPr>
          <w:sz w:val="24"/>
          <w:szCs w:val="24"/>
          <w:highlight w:val="yellow"/>
        </w:rPr>
      </w:pPr>
    </w:p>
    <w:p w14:paraId="291735F9" w14:textId="7815B2A3" w:rsidR="00E1386F" w:rsidRPr="003166D4" w:rsidRDefault="00174DCB" w:rsidP="003166D4">
      <w:pPr>
        <w:pStyle w:val="Nadpis2"/>
      </w:pPr>
      <w:bookmarkStart w:id="11" w:name="_Toc500231588"/>
      <w:bookmarkStart w:id="12" w:name="_Toc37165910"/>
      <w:r>
        <w:t>3</w:t>
      </w:r>
      <w:r w:rsidR="004C7086" w:rsidRPr="003166D4">
        <w:t xml:space="preserve">.4 </w:t>
      </w:r>
      <w:r w:rsidR="002A1116" w:rsidRPr="003166D4">
        <w:t xml:space="preserve">Hydrologické a hydrogeologické </w:t>
      </w:r>
      <w:r w:rsidR="00141400" w:rsidRPr="003166D4">
        <w:t>poměry</w:t>
      </w:r>
      <w:bookmarkEnd w:id="11"/>
      <w:bookmarkEnd w:id="12"/>
    </w:p>
    <w:p w14:paraId="7A7E612D" w14:textId="77777777" w:rsidR="00DD3542" w:rsidRDefault="00711DA2" w:rsidP="00722AA0">
      <w:pPr>
        <w:spacing w:line="276" w:lineRule="auto"/>
        <w:jc w:val="both"/>
        <w:rPr>
          <w:sz w:val="24"/>
          <w:szCs w:val="24"/>
        </w:rPr>
      </w:pPr>
      <w:r w:rsidRPr="000353CE">
        <w:rPr>
          <w:sz w:val="24"/>
          <w:szCs w:val="24"/>
        </w:rPr>
        <w:t>Z hydrogeologického hlediska zájmová oblast náleží do hydrogeologického raj</w:t>
      </w:r>
      <w:r w:rsidR="004915DE" w:rsidRPr="000353CE">
        <w:rPr>
          <w:sz w:val="24"/>
          <w:szCs w:val="24"/>
        </w:rPr>
        <w:t xml:space="preserve">onu </w:t>
      </w:r>
      <w:r w:rsidR="000353CE" w:rsidRPr="000353CE">
        <w:rPr>
          <w:sz w:val="24"/>
          <w:szCs w:val="24"/>
        </w:rPr>
        <w:t>5131</w:t>
      </w:r>
      <w:r w:rsidR="004915DE" w:rsidRPr="000353CE">
        <w:rPr>
          <w:sz w:val="24"/>
          <w:szCs w:val="24"/>
        </w:rPr>
        <w:t xml:space="preserve"> – </w:t>
      </w:r>
      <w:r w:rsidR="000353CE" w:rsidRPr="000353CE">
        <w:rPr>
          <w:sz w:val="24"/>
          <w:szCs w:val="24"/>
        </w:rPr>
        <w:t>Rakovnická pánev</w:t>
      </w:r>
      <w:r w:rsidR="004915DE" w:rsidRPr="000353CE">
        <w:rPr>
          <w:sz w:val="24"/>
          <w:szCs w:val="24"/>
        </w:rPr>
        <w:t>.</w:t>
      </w:r>
      <w:r w:rsidR="000353CE">
        <w:rPr>
          <w:sz w:val="24"/>
          <w:szCs w:val="24"/>
        </w:rPr>
        <w:t xml:space="preserve"> </w:t>
      </w:r>
      <w:r w:rsidR="002D1382">
        <w:rPr>
          <w:sz w:val="24"/>
          <w:szCs w:val="24"/>
        </w:rPr>
        <w:t>R</w:t>
      </w:r>
      <w:r w:rsidR="000353CE">
        <w:rPr>
          <w:sz w:val="24"/>
          <w:szCs w:val="24"/>
        </w:rPr>
        <w:t>akovnický potok, protékající zájmovým územím</w:t>
      </w:r>
      <w:r w:rsidR="002D1382">
        <w:rPr>
          <w:sz w:val="24"/>
          <w:szCs w:val="24"/>
        </w:rPr>
        <w:t xml:space="preserve">, je významný svou zhoršující se situací týkající se zdrojů povrchové vody, způsobenou antropogenní činnosti, zejména čerpáním podzemní vody pro průmyslové využití a zásobování pitnou vodou. </w:t>
      </w:r>
      <w:r w:rsidR="000353CE">
        <w:rPr>
          <w:sz w:val="24"/>
          <w:szCs w:val="24"/>
        </w:rPr>
        <w:t xml:space="preserve"> </w:t>
      </w:r>
      <w:r w:rsidR="00D3108D" w:rsidRPr="000353CE">
        <w:rPr>
          <w:sz w:val="24"/>
          <w:szCs w:val="24"/>
        </w:rPr>
        <w:t xml:space="preserve"> </w:t>
      </w:r>
    </w:p>
    <w:p w14:paraId="5D6305BD" w14:textId="77777777" w:rsidR="00E1386F" w:rsidRPr="00C13B7C" w:rsidRDefault="00E1386F" w:rsidP="007F3F7D">
      <w:pPr>
        <w:jc w:val="both"/>
        <w:rPr>
          <w:sz w:val="24"/>
          <w:szCs w:val="24"/>
          <w:highlight w:val="yellow"/>
        </w:rPr>
      </w:pPr>
    </w:p>
    <w:p w14:paraId="2B24CDDF" w14:textId="1DFD9C29" w:rsidR="008A2AC1" w:rsidRDefault="00174DCB" w:rsidP="00890DA4">
      <w:pPr>
        <w:pStyle w:val="Nadpis2"/>
      </w:pPr>
      <w:bookmarkStart w:id="13" w:name="_Toc37165911"/>
      <w:r>
        <w:t>3</w:t>
      </w:r>
      <w:r w:rsidR="00C158E0" w:rsidRPr="0004436A">
        <w:t xml:space="preserve">.5 Dosavadní </w:t>
      </w:r>
      <w:proofErr w:type="spellStart"/>
      <w:r w:rsidR="00C158E0" w:rsidRPr="0004436A">
        <w:t>prozkoumanost</w:t>
      </w:r>
      <w:bookmarkEnd w:id="13"/>
      <w:proofErr w:type="spellEnd"/>
    </w:p>
    <w:p w14:paraId="0B6527FD" w14:textId="55E3965F" w:rsidR="00722AA0" w:rsidRPr="00722AA0" w:rsidRDefault="00722AA0" w:rsidP="00722AA0">
      <w:pPr>
        <w:rPr>
          <w:sz w:val="24"/>
          <w:szCs w:val="24"/>
        </w:rPr>
      </w:pPr>
      <w:r w:rsidRPr="00722AA0">
        <w:rPr>
          <w:sz w:val="24"/>
          <w:szCs w:val="24"/>
        </w:rPr>
        <w:t>V zájmovém území byly realizovány vrty, které jsou přehledn</w:t>
      </w:r>
      <w:r>
        <w:rPr>
          <w:sz w:val="24"/>
          <w:szCs w:val="24"/>
        </w:rPr>
        <w:t>ě</w:t>
      </w:r>
      <w:r w:rsidRPr="00722AA0">
        <w:rPr>
          <w:sz w:val="24"/>
          <w:szCs w:val="24"/>
        </w:rPr>
        <w:t xml:space="preserve"> uvedeny v tabulce č. 1.</w:t>
      </w:r>
    </w:p>
    <w:p w14:paraId="3DFAB216" w14:textId="77777777" w:rsidR="004A630D" w:rsidRPr="00C13B7C" w:rsidRDefault="004A630D" w:rsidP="004A630D">
      <w:pPr>
        <w:rPr>
          <w:highlight w:val="yellow"/>
        </w:rPr>
      </w:pPr>
    </w:p>
    <w:p w14:paraId="558EDA2C" w14:textId="77777777" w:rsidR="00C158E0" w:rsidRPr="008278AC" w:rsidRDefault="001B6FB0" w:rsidP="00C158E0">
      <w:pPr>
        <w:rPr>
          <w:sz w:val="22"/>
          <w:szCs w:val="22"/>
        </w:rPr>
      </w:pPr>
      <w:r w:rsidRPr="008278AC">
        <w:rPr>
          <w:sz w:val="22"/>
          <w:szCs w:val="22"/>
        </w:rPr>
        <w:lastRenderedPageBreak/>
        <w:t>Tabulka 1 – Seznam archivních vrtů v</w:t>
      </w:r>
      <w:r w:rsidR="00D724D3" w:rsidRPr="008278AC">
        <w:rPr>
          <w:sz w:val="22"/>
          <w:szCs w:val="22"/>
        </w:rPr>
        <w:t xml:space="preserve"> blízkém</w:t>
      </w:r>
      <w:r w:rsidRPr="008278AC">
        <w:rPr>
          <w:sz w:val="22"/>
          <w:szCs w:val="22"/>
        </w:rPr>
        <w:t> okolí a v trase projektu</w:t>
      </w:r>
    </w:p>
    <w:p w14:paraId="64549E34" w14:textId="77777777" w:rsidR="001B6FB0" w:rsidRPr="0004436A" w:rsidRDefault="001B6FB0" w:rsidP="00C158E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91"/>
        <w:gridCol w:w="1887"/>
        <w:gridCol w:w="1934"/>
        <w:gridCol w:w="1512"/>
        <w:gridCol w:w="1838"/>
      </w:tblGrid>
      <w:tr w:rsidR="00B12C49" w:rsidRPr="0004436A" w14:paraId="6EBD2C44" w14:textId="77777777" w:rsidTr="008278AC">
        <w:tc>
          <w:tcPr>
            <w:tcW w:w="1891" w:type="dxa"/>
            <w:shd w:val="clear" w:color="auto" w:fill="FFFF99"/>
          </w:tcPr>
          <w:p w14:paraId="1D461107" w14:textId="77777777" w:rsidR="00B12C49" w:rsidRPr="008278AC" w:rsidRDefault="00B12C49" w:rsidP="008278AC">
            <w:pPr>
              <w:jc w:val="center"/>
              <w:rPr>
                <w:b/>
              </w:rPr>
            </w:pPr>
            <w:r w:rsidRPr="008278AC">
              <w:rPr>
                <w:b/>
              </w:rPr>
              <w:t>Vrt/sonda</w:t>
            </w:r>
          </w:p>
        </w:tc>
        <w:tc>
          <w:tcPr>
            <w:tcW w:w="1887" w:type="dxa"/>
            <w:shd w:val="clear" w:color="auto" w:fill="FFFF99"/>
          </w:tcPr>
          <w:p w14:paraId="2407EEBE" w14:textId="2B1FE388" w:rsidR="00B12C49" w:rsidRPr="008278AC" w:rsidRDefault="00B12C49" w:rsidP="008278AC">
            <w:pPr>
              <w:jc w:val="center"/>
              <w:rPr>
                <w:b/>
              </w:rPr>
            </w:pPr>
            <w:r w:rsidRPr="008278AC">
              <w:rPr>
                <w:b/>
              </w:rPr>
              <w:t>Y (</w:t>
            </w:r>
            <w:r w:rsidR="008278AC">
              <w:rPr>
                <w:b/>
              </w:rPr>
              <w:t>S-</w:t>
            </w:r>
            <w:r w:rsidRPr="008278AC">
              <w:rPr>
                <w:b/>
              </w:rPr>
              <w:t>JTSK)</w:t>
            </w:r>
          </w:p>
        </w:tc>
        <w:tc>
          <w:tcPr>
            <w:tcW w:w="1934" w:type="dxa"/>
            <w:shd w:val="clear" w:color="auto" w:fill="FFFF99"/>
          </w:tcPr>
          <w:p w14:paraId="5F5EC783" w14:textId="2696C310" w:rsidR="00B12C49" w:rsidRPr="008278AC" w:rsidRDefault="00B12C49" w:rsidP="008278AC">
            <w:pPr>
              <w:jc w:val="center"/>
              <w:rPr>
                <w:b/>
              </w:rPr>
            </w:pPr>
            <w:r w:rsidRPr="008278AC">
              <w:rPr>
                <w:b/>
              </w:rPr>
              <w:t>X (</w:t>
            </w:r>
            <w:r w:rsidR="008278AC">
              <w:rPr>
                <w:b/>
              </w:rPr>
              <w:t>S-</w:t>
            </w:r>
            <w:r w:rsidRPr="008278AC">
              <w:rPr>
                <w:b/>
              </w:rPr>
              <w:t>JTSK)</w:t>
            </w:r>
          </w:p>
        </w:tc>
        <w:tc>
          <w:tcPr>
            <w:tcW w:w="1512" w:type="dxa"/>
            <w:shd w:val="clear" w:color="auto" w:fill="FFFF99"/>
          </w:tcPr>
          <w:p w14:paraId="5218DA49" w14:textId="110A5651" w:rsidR="00B12C49" w:rsidRPr="008278AC" w:rsidRDefault="00B12C49" w:rsidP="008278AC">
            <w:pPr>
              <w:jc w:val="center"/>
              <w:rPr>
                <w:b/>
              </w:rPr>
            </w:pPr>
            <w:r w:rsidRPr="008278AC">
              <w:rPr>
                <w:b/>
              </w:rPr>
              <w:t>Z</w:t>
            </w:r>
            <w:r w:rsidR="008278AC">
              <w:rPr>
                <w:b/>
              </w:rPr>
              <w:t xml:space="preserve"> (</w:t>
            </w:r>
            <w:proofErr w:type="spellStart"/>
            <w:r w:rsidR="008278AC">
              <w:rPr>
                <w:b/>
              </w:rPr>
              <w:t>Bpv</w:t>
            </w:r>
            <w:proofErr w:type="spellEnd"/>
            <w:r w:rsidR="008278AC">
              <w:rPr>
                <w:b/>
              </w:rPr>
              <w:t>)</w:t>
            </w:r>
          </w:p>
        </w:tc>
        <w:tc>
          <w:tcPr>
            <w:tcW w:w="1838" w:type="dxa"/>
            <w:shd w:val="clear" w:color="auto" w:fill="FFFF99"/>
          </w:tcPr>
          <w:p w14:paraId="1E7AF95D" w14:textId="77777777" w:rsidR="00B12C49" w:rsidRPr="008278AC" w:rsidRDefault="00B12C49" w:rsidP="008278AC">
            <w:pPr>
              <w:jc w:val="center"/>
              <w:rPr>
                <w:b/>
              </w:rPr>
            </w:pPr>
            <w:r w:rsidRPr="008278AC">
              <w:rPr>
                <w:b/>
              </w:rPr>
              <w:t>Hloubka (m)</w:t>
            </w:r>
          </w:p>
        </w:tc>
      </w:tr>
      <w:tr w:rsidR="00B12C49" w:rsidRPr="00C13B7C" w14:paraId="04151767" w14:textId="77777777" w:rsidTr="00A258D0">
        <w:tc>
          <w:tcPr>
            <w:tcW w:w="1891" w:type="dxa"/>
          </w:tcPr>
          <w:p w14:paraId="6A58117B" w14:textId="77777777" w:rsidR="00B12C49" w:rsidRPr="008278AC" w:rsidRDefault="00B12C49" w:rsidP="00A258D0">
            <w:r w:rsidRPr="008278AC">
              <w:t>A2</w:t>
            </w:r>
          </w:p>
        </w:tc>
        <w:tc>
          <w:tcPr>
            <w:tcW w:w="1887" w:type="dxa"/>
          </w:tcPr>
          <w:p w14:paraId="4FA3815C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4EA692EB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675F1BCF" w14:textId="47548E1B" w:rsidR="00B12C49" w:rsidRPr="008278AC" w:rsidRDefault="00B12C49" w:rsidP="00A258D0">
            <w:pPr>
              <w:jc w:val="center"/>
            </w:pPr>
            <w:r w:rsidRPr="008278AC">
              <w:t>351,5</w:t>
            </w:r>
            <w:r w:rsidR="00585FD6">
              <w:t>0</w:t>
            </w:r>
          </w:p>
        </w:tc>
        <w:tc>
          <w:tcPr>
            <w:tcW w:w="1838" w:type="dxa"/>
          </w:tcPr>
          <w:p w14:paraId="46BAB741" w14:textId="77777777" w:rsidR="00B12C49" w:rsidRPr="008278AC" w:rsidRDefault="00B12C49" w:rsidP="00A258D0">
            <w:pPr>
              <w:jc w:val="center"/>
            </w:pPr>
            <w:r w:rsidRPr="008278AC">
              <w:t>6,0</w:t>
            </w:r>
          </w:p>
        </w:tc>
      </w:tr>
      <w:tr w:rsidR="00B12C49" w:rsidRPr="00C13B7C" w14:paraId="727D9FC4" w14:textId="77777777" w:rsidTr="00A258D0">
        <w:tc>
          <w:tcPr>
            <w:tcW w:w="1891" w:type="dxa"/>
          </w:tcPr>
          <w:p w14:paraId="382F7547" w14:textId="77777777" w:rsidR="00B12C49" w:rsidRPr="008278AC" w:rsidRDefault="00B12C49" w:rsidP="00A258D0">
            <w:r w:rsidRPr="008278AC">
              <w:t>A3</w:t>
            </w:r>
          </w:p>
        </w:tc>
        <w:tc>
          <w:tcPr>
            <w:tcW w:w="1887" w:type="dxa"/>
          </w:tcPr>
          <w:p w14:paraId="0FB2FABD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6049E53F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0DEC91C2" w14:textId="77777777" w:rsidR="00B12C49" w:rsidRPr="008278AC" w:rsidRDefault="00B12C49" w:rsidP="00A258D0">
            <w:pPr>
              <w:jc w:val="center"/>
            </w:pPr>
            <w:r w:rsidRPr="008278AC">
              <w:t>352,47</w:t>
            </w:r>
          </w:p>
        </w:tc>
        <w:tc>
          <w:tcPr>
            <w:tcW w:w="1838" w:type="dxa"/>
          </w:tcPr>
          <w:p w14:paraId="47A07A38" w14:textId="77777777" w:rsidR="00B12C49" w:rsidRPr="008278AC" w:rsidRDefault="00B12C49" w:rsidP="00A258D0">
            <w:pPr>
              <w:jc w:val="center"/>
            </w:pPr>
            <w:r w:rsidRPr="008278AC">
              <w:t>6,0</w:t>
            </w:r>
          </w:p>
        </w:tc>
      </w:tr>
      <w:tr w:rsidR="00B12C49" w:rsidRPr="00C13B7C" w14:paraId="49C51BB3" w14:textId="77777777" w:rsidTr="00A258D0">
        <w:tc>
          <w:tcPr>
            <w:tcW w:w="1891" w:type="dxa"/>
          </w:tcPr>
          <w:p w14:paraId="586711D8" w14:textId="77777777" w:rsidR="00B12C49" w:rsidRPr="008278AC" w:rsidRDefault="00B12C49" w:rsidP="00A258D0">
            <w:r w:rsidRPr="008278AC">
              <w:t>A6</w:t>
            </w:r>
          </w:p>
        </w:tc>
        <w:tc>
          <w:tcPr>
            <w:tcW w:w="1887" w:type="dxa"/>
          </w:tcPr>
          <w:p w14:paraId="05247E30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6409AE6F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6275BE99" w14:textId="77777777" w:rsidR="00B12C49" w:rsidRPr="008278AC" w:rsidRDefault="00B12C49" w:rsidP="00A258D0">
            <w:pPr>
              <w:jc w:val="center"/>
            </w:pPr>
            <w:r w:rsidRPr="008278AC">
              <w:t>342,48</w:t>
            </w:r>
          </w:p>
        </w:tc>
        <w:tc>
          <w:tcPr>
            <w:tcW w:w="1838" w:type="dxa"/>
          </w:tcPr>
          <w:p w14:paraId="5A1DF176" w14:textId="77777777" w:rsidR="00B12C49" w:rsidRPr="008278AC" w:rsidRDefault="00B12C49" w:rsidP="00A258D0">
            <w:pPr>
              <w:jc w:val="center"/>
            </w:pPr>
            <w:r w:rsidRPr="008278AC">
              <w:t>8,0</w:t>
            </w:r>
          </w:p>
        </w:tc>
      </w:tr>
      <w:tr w:rsidR="00B12C49" w:rsidRPr="00C13B7C" w14:paraId="7B3A4346" w14:textId="77777777" w:rsidTr="00A258D0">
        <w:tc>
          <w:tcPr>
            <w:tcW w:w="1891" w:type="dxa"/>
          </w:tcPr>
          <w:p w14:paraId="29C48815" w14:textId="77777777" w:rsidR="00B12C49" w:rsidRPr="008278AC" w:rsidRDefault="00B12C49" w:rsidP="00A258D0">
            <w:r w:rsidRPr="008278AC">
              <w:t>A7</w:t>
            </w:r>
          </w:p>
        </w:tc>
        <w:tc>
          <w:tcPr>
            <w:tcW w:w="1887" w:type="dxa"/>
          </w:tcPr>
          <w:p w14:paraId="73A5503D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2804205C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415A27FD" w14:textId="77777777" w:rsidR="00B12C49" w:rsidRPr="008278AC" w:rsidRDefault="00B12C49" w:rsidP="00A258D0">
            <w:pPr>
              <w:jc w:val="center"/>
            </w:pPr>
            <w:r w:rsidRPr="008278AC">
              <w:t>336,91</w:t>
            </w:r>
          </w:p>
        </w:tc>
        <w:tc>
          <w:tcPr>
            <w:tcW w:w="1838" w:type="dxa"/>
          </w:tcPr>
          <w:p w14:paraId="3ABCE216" w14:textId="77777777" w:rsidR="00B12C49" w:rsidRPr="008278AC" w:rsidRDefault="00B12C49" w:rsidP="00A258D0">
            <w:pPr>
              <w:jc w:val="center"/>
            </w:pPr>
            <w:r w:rsidRPr="008278AC">
              <w:t>2,1</w:t>
            </w:r>
          </w:p>
        </w:tc>
      </w:tr>
      <w:tr w:rsidR="00B12C49" w:rsidRPr="00C13B7C" w14:paraId="0BC6BB07" w14:textId="77777777" w:rsidTr="00A258D0">
        <w:tc>
          <w:tcPr>
            <w:tcW w:w="1891" w:type="dxa"/>
          </w:tcPr>
          <w:p w14:paraId="0533DA1B" w14:textId="77777777" w:rsidR="00B12C49" w:rsidRPr="008278AC" w:rsidRDefault="00B12C49" w:rsidP="00A258D0">
            <w:r w:rsidRPr="008278AC">
              <w:t>A8</w:t>
            </w:r>
          </w:p>
        </w:tc>
        <w:tc>
          <w:tcPr>
            <w:tcW w:w="1887" w:type="dxa"/>
          </w:tcPr>
          <w:p w14:paraId="3142F315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70744C16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3897D191" w14:textId="77777777" w:rsidR="00B12C49" w:rsidRPr="008278AC" w:rsidRDefault="00B12C49" w:rsidP="00A258D0">
            <w:pPr>
              <w:jc w:val="center"/>
            </w:pPr>
            <w:r w:rsidRPr="008278AC">
              <w:t>312,00</w:t>
            </w:r>
          </w:p>
        </w:tc>
        <w:tc>
          <w:tcPr>
            <w:tcW w:w="1838" w:type="dxa"/>
          </w:tcPr>
          <w:p w14:paraId="334F7EF8" w14:textId="77777777" w:rsidR="00B12C49" w:rsidRPr="008278AC" w:rsidRDefault="00B12C49" w:rsidP="00A258D0">
            <w:pPr>
              <w:jc w:val="center"/>
            </w:pPr>
            <w:r w:rsidRPr="008278AC">
              <w:t>5,0</w:t>
            </w:r>
          </w:p>
        </w:tc>
      </w:tr>
      <w:tr w:rsidR="00B12C49" w:rsidRPr="00C13B7C" w14:paraId="74A1DB9B" w14:textId="77777777" w:rsidTr="00A258D0">
        <w:tc>
          <w:tcPr>
            <w:tcW w:w="1891" w:type="dxa"/>
          </w:tcPr>
          <w:p w14:paraId="6201A13B" w14:textId="77777777" w:rsidR="00B12C49" w:rsidRPr="008278AC" w:rsidRDefault="00B12C49" w:rsidP="00A258D0">
            <w:r w:rsidRPr="008278AC">
              <w:t>A9 (W-I)</w:t>
            </w:r>
          </w:p>
        </w:tc>
        <w:tc>
          <w:tcPr>
            <w:tcW w:w="1887" w:type="dxa"/>
          </w:tcPr>
          <w:p w14:paraId="73933C48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727C8CEA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2F36E977" w14:textId="77777777" w:rsidR="00B12C49" w:rsidRPr="008278AC" w:rsidRDefault="00B12C49" w:rsidP="00A258D0">
            <w:pPr>
              <w:jc w:val="center"/>
            </w:pPr>
            <w:r w:rsidRPr="008278AC">
              <w:t>311,92</w:t>
            </w:r>
          </w:p>
        </w:tc>
        <w:tc>
          <w:tcPr>
            <w:tcW w:w="1838" w:type="dxa"/>
          </w:tcPr>
          <w:p w14:paraId="68A748D4" w14:textId="77777777" w:rsidR="00B12C49" w:rsidRPr="008278AC" w:rsidRDefault="00B12C49" w:rsidP="00A258D0">
            <w:pPr>
              <w:jc w:val="center"/>
            </w:pPr>
            <w:r w:rsidRPr="008278AC">
              <w:t>8,3</w:t>
            </w:r>
          </w:p>
        </w:tc>
      </w:tr>
      <w:tr w:rsidR="00B12C49" w:rsidRPr="00C13B7C" w14:paraId="71226F0E" w14:textId="77777777" w:rsidTr="00A258D0">
        <w:tc>
          <w:tcPr>
            <w:tcW w:w="1891" w:type="dxa"/>
          </w:tcPr>
          <w:p w14:paraId="0072CD69" w14:textId="77777777" w:rsidR="00B12C49" w:rsidRPr="008278AC" w:rsidRDefault="00B12C49" w:rsidP="00A258D0">
            <w:r w:rsidRPr="008278AC">
              <w:t>A10 (W-2)</w:t>
            </w:r>
          </w:p>
        </w:tc>
        <w:tc>
          <w:tcPr>
            <w:tcW w:w="1887" w:type="dxa"/>
          </w:tcPr>
          <w:p w14:paraId="4F3EF19C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3CC7DDEB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5A99430E" w14:textId="77777777" w:rsidR="00B12C49" w:rsidRPr="008278AC" w:rsidRDefault="00B12C49" w:rsidP="00A258D0">
            <w:pPr>
              <w:jc w:val="center"/>
            </w:pPr>
            <w:r w:rsidRPr="008278AC">
              <w:t>312,04</w:t>
            </w:r>
          </w:p>
        </w:tc>
        <w:tc>
          <w:tcPr>
            <w:tcW w:w="1838" w:type="dxa"/>
          </w:tcPr>
          <w:p w14:paraId="44AE6340" w14:textId="77777777" w:rsidR="00B12C49" w:rsidRPr="008278AC" w:rsidRDefault="00B12C49" w:rsidP="00A258D0">
            <w:pPr>
              <w:jc w:val="center"/>
            </w:pPr>
            <w:r w:rsidRPr="008278AC">
              <w:t>8,0</w:t>
            </w:r>
          </w:p>
        </w:tc>
      </w:tr>
      <w:tr w:rsidR="00B12C49" w:rsidRPr="00C13B7C" w14:paraId="51E26818" w14:textId="77777777" w:rsidTr="00A258D0">
        <w:tc>
          <w:tcPr>
            <w:tcW w:w="1891" w:type="dxa"/>
          </w:tcPr>
          <w:p w14:paraId="510B6000" w14:textId="77777777" w:rsidR="00B12C49" w:rsidRPr="008278AC" w:rsidRDefault="00B12C49" w:rsidP="00A258D0">
            <w:r w:rsidRPr="008278AC">
              <w:t>A11 (FW-3)</w:t>
            </w:r>
          </w:p>
        </w:tc>
        <w:tc>
          <w:tcPr>
            <w:tcW w:w="1887" w:type="dxa"/>
          </w:tcPr>
          <w:p w14:paraId="3C6EB9D7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7EDC3EC6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626131AE" w14:textId="77777777" w:rsidR="00B12C49" w:rsidRPr="008278AC" w:rsidRDefault="00B12C49" w:rsidP="00A258D0">
            <w:pPr>
              <w:jc w:val="center"/>
            </w:pPr>
            <w:r w:rsidRPr="008278AC">
              <w:t>313,71</w:t>
            </w:r>
          </w:p>
        </w:tc>
        <w:tc>
          <w:tcPr>
            <w:tcW w:w="1838" w:type="dxa"/>
          </w:tcPr>
          <w:p w14:paraId="45BBD4E0" w14:textId="77777777" w:rsidR="00B12C49" w:rsidRPr="008278AC" w:rsidRDefault="00B12C49" w:rsidP="00A258D0">
            <w:pPr>
              <w:jc w:val="center"/>
            </w:pPr>
            <w:r w:rsidRPr="008278AC">
              <w:t>8,7</w:t>
            </w:r>
          </w:p>
        </w:tc>
      </w:tr>
      <w:tr w:rsidR="00B12C49" w:rsidRPr="00C13B7C" w14:paraId="090B503E" w14:textId="77777777" w:rsidTr="00A258D0">
        <w:tc>
          <w:tcPr>
            <w:tcW w:w="1891" w:type="dxa"/>
          </w:tcPr>
          <w:p w14:paraId="75C04EEF" w14:textId="77777777" w:rsidR="00B12C49" w:rsidRPr="008278AC" w:rsidRDefault="00B12C49" w:rsidP="00A258D0">
            <w:r w:rsidRPr="008278AC">
              <w:t>A13 (S3)</w:t>
            </w:r>
          </w:p>
        </w:tc>
        <w:tc>
          <w:tcPr>
            <w:tcW w:w="1887" w:type="dxa"/>
          </w:tcPr>
          <w:p w14:paraId="6DA12E71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5B7F9C8F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49A60F5D" w14:textId="77777777" w:rsidR="00B12C49" w:rsidRPr="008278AC" w:rsidRDefault="00B12C49" w:rsidP="00A258D0">
            <w:pPr>
              <w:jc w:val="center"/>
            </w:pPr>
            <w:r w:rsidRPr="008278AC">
              <w:t>328,00</w:t>
            </w:r>
          </w:p>
        </w:tc>
        <w:tc>
          <w:tcPr>
            <w:tcW w:w="1838" w:type="dxa"/>
          </w:tcPr>
          <w:p w14:paraId="02A82E78" w14:textId="77777777" w:rsidR="00B12C49" w:rsidRPr="008278AC" w:rsidRDefault="00B12C49" w:rsidP="00A258D0">
            <w:pPr>
              <w:jc w:val="center"/>
            </w:pPr>
            <w:r w:rsidRPr="008278AC">
              <w:t>10,0</w:t>
            </w:r>
          </w:p>
        </w:tc>
      </w:tr>
      <w:tr w:rsidR="00B12C49" w:rsidRPr="00C13B7C" w14:paraId="2D3A1C53" w14:textId="77777777" w:rsidTr="00A258D0">
        <w:tc>
          <w:tcPr>
            <w:tcW w:w="1891" w:type="dxa"/>
          </w:tcPr>
          <w:p w14:paraId="1212192B" w14:textId="77777777" w:rsidR="00B12C49" w:rsidRPr="008278AC" w:rsidRDefault="00B12C49" w:rsidP="00A258D0">
            <w:r w:rsidRPr="008278AC">
              <w:t>A14</w:t>
            </w:r>
          </w:p>
        </w:tc>
        <w:tc>
          <w:tcPr>
            <w:tcW w:w="1887" w:type="dxa"/>
          </w:tcPr>
          <w:p w14:paraId="5B5C4B65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7EC548E7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718ABAF4" w14:textId="77777777" w:rsidR="00B12C49" w:rsidRPr="008278AC" w:rsidRDefault="00B12C49" w:rsidP="00A258D0">
            <w:pPr>
              <w:jc w:val="center"/>
            </w:pPr>
            <w:r w:rsidRPr="008278AC">
              <w:t>340,50</w:t>
            </w:r>
          </w:p>
        </w:tc>
        <w:tc>
          <w:tcPr>
            <w:tcW w:w="1838" w:type="dxa"/>
          </w:tcPr>
          <w:p w14:paraId="7233185A" w14:textId="77777777" w:rsidR="00B12C49" w:rsidRPr="008278AC" w:rsidRDefault="00B12C49" w:rsidP="00A258D0">
            <w:pPr>
              <w:jc w:val="center"/>
            </w:pPr>
            <w:r w:rsidRPr="008278AC">
              <w:t>5,0</w:t>
            </w:r>
          </w:p>
        </w:tc>
      </w:tr>
      <w:tr w:rsidR="00B12C49" w:rsidRPr="00C13B7C" w14:paraId="29118CD8" w14:textId="77777777" w:rsidTr="00A258D0">
        <w:tc>
          <w:tcPr>
            <w:tcW w:w="1891" w:type="dxa"/>
          </w:tcPr>
          <w:p w14:paraId="295D57B9" w14:textId="77777777" w:rsidR="00B12C49" w:rsidRPr="008278AC" w:rsidRDefault="00B12C49" w:rsidP="00A258D0">
            <w:r w:rsidRPr="008278AC">
              <w:t>A15</w:t>
            </w:r>
          </w:p>
        </w:tc>
        <w:tc>
          <w:tcPr>
            <w:tcW w:w="1887" w:type="dxa"/>
          </w:tcPr>
          <w:p w14:paraId="7CFB1731" w14:textId="77777777" w:rsidR="00B12C49" w:rsidRPr="008278AC" w:rsidRDefault="00B12C49" w:rsidP="00A258D0">
            <w:pPr>
              <w:jc w:val="center"/>
            </w:pPr>
            <w:r w:rsidRPr="008278AC">
              <w:t>790 741,13</w:t>
            </w:r>
          </w:p>
        </w:tc>
        <w:tc>
          <w:tcPr>
            <w:tcW w:w="1934" w:type="dxa"/>
          </w:tcPr>
          <w:p w14:paraId="47B59B7A" w14:textId="77777777" w:rsidR="00B12C49" w:rsidRPr="008278AC" w:rsidRDefault="00B12C49" w:rsidP="00A258D0">
            <w:pPr>
              <w:jc w:val="center"/>
            </w:pPr>
            <w:r w:rsidRPr="008278AC">
              <w:t>1 035 439,70</w:t>
            </w:r>
          </w:p>
        </w:tc>
        <w:tc>
          <w:tcPr>
            <w:tcW w:w="1512" w:type="dxa"/>
          </w:tcPr>
          <w:p w14:paraId="1D1A67B9" w14:textId="77777777" w:rsidR="00B12C49" w:rsidRPr="008278AC" w:rsidRDefault="00B12C49" w:rsidP="00A258D0">
            <w:pPr>
              <w:jc w:val="center"/>
            </w:pPr>
            <w:r w:rsidRPr="008278AC">
              <w:t>350,41</w:t>
            </w:r>
          </w:p>
        </w:tc>
        <w:tc>
          <w:tcPr>
            <w:tcW w:w="1838" w:type="dxa"/>
          </w:tcPr>
          <w:p w14:paraId="1909D3DD" w14:textId="77777777" w:rsidR="00B12C49" w:rsidRPr="008278AC" w:rsidRDefault="00B12C49" w:rsidP="00A258D0">
            <w:pPr>
              <w:jc w:val="center"/>
            </w:pPr>
            <w:r w:rsidRPr="008278AC">
              <w:t>48,2</w:t>
            </w:r>
          </w:p>
        </w:tc>
      </w:tr>
      <w:tr w:rsidR="00B12C49" w:rsidRPr="00C13B7C" w14:paraId="5BAE6CAF" w14:textId="77777777" w:rsidTr="00A258D0">
        <w:tc>
          <w:tcPr>
            <w:tcW w:w="1891" w:type="dxa"/>
          </w:tcPr>
          <w:p w14:paraId="2154FFDB" w14:textId="77777777" w:rsidR="00B12C49" w:rsidRPr="008278AC" w:rsidRDefault="00B12C49" w:rsidP="00A258D0">
            <w:r w:rsidRPr="008278AC">
              <w:t>A16</w:t>
            </w:r>
          </w:p>
        </w:tc>
        <w:tc>
          <w:tcPr>
            <w:tcW w:w="1887" w:type="dxa"/>
          </w:tcPr>
          <w:p w14:paraId="54E82FAD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6A79E5BF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616FD1C9" w14:textId="77777777" w:rsidR="00B12C49" w:rsidRPr="008278AC" w:rsidRDefault="00B12C49" w:rsidP="00A258D0">
            <w:pPr>
              <w:jc w:val="center"/>
            </w:pPr>
            <w:r w:rsidRPr="008278AC">
              <w:t>358,50</w:t>
            </w:r>
          </w:p>
        </w:tc>
        <w:tc>
          <w:tcPr>
            <w:tcW w:w="1838" w:type="dxa"/>
          </w:tcPr>
          <w:p w14:paraId="19D00076" w14:textId="77777777" w:rsidR="00B12C49" w:rsidRPr="008278AC" w:rsidRDefault="00B12C49" w:rsidP="00A258D0">
            <w:pPr>
              <w:jc w:val="center"/>
            </w:pPr>
            <w:r w:rsidRPr="008278AC">
              <w:t>3,2</w:t>
            </w:r>
          </w:p>
        </w:tc>
      </w:tr>
      <w:tr w:rsidR="00B12C49" w:rsidRPr="00C13B7C" w14:paraId="60A9B827" w14:textId="77777777" w:rsidTr="00A258D0">
        <w:tc>
          <w:tcPr>
            <w:tcW w:w="1891" w:type="dxa"/>
          </w:tcPr>
          <w:p w14:paraId="4D8C49CB" w14:textId="77777777" w:rsidR="00B12C49" w:rsidRPr="008278AC" w:rsidRDefault="00B12C49" w:rsidP="00A258D0">
            <w:r w:rsidRPr="008278AC">
              <w:t>A17</w:t>
            </w:r>
          </w:p>
        </w:tc>
        <w:tc>
          <w:tcPr>
            <w:tcW w:w="1887" w:type="dxa"/>
          </w:tcPr>
          <w:p w14:paraId="19F7D0E2" w14:textId="77777777" w:rsidR="00B12C49" w:rsidRPr="008278AC" w:rsidRDefault="00B12C49" w:rsidP="00A258D0">
            <w:pPr>
              <w:jc w:val="center"/>
            </w:pPr>
          </w:p>
        </w:tc>
        <w:tc>
          <w:tcPr>
            <w:tcW w:w="1934" w:type="dxa"/>
          </w:tcPr>
          <w:p w14:paraId="5315234D" w14:textId="77777777" w:rsidR="00B12C49" w:rsidRPr="008278AC" w:rsidRDefault="00B12C49" w:rsidP="00A258D0">
            <w:pPr>
              <w:jc w:val="center"/>
            </w:pPr>
          </w:p>
        </w:tc>
        <w:tc>
          <w:tcPr>
            <w:tcW w:w="1512" w:type="dxa"/>
          </w:tcPr>
          <w:p w14:paraId="6CF81976" w14:textId="77777777" w:rsidR="00B12C49" w:rsidRPr="008278AC" w:rsidRDefault="00B12C49" w:rsidP="00A258D0">
            <w:pPr>
              <w:jc w:val="center"/>
            </w:pPr>
            <w:r w:rsidRPr="008278AC">
              <w:t>362,00</w:t>
            </w:r>
          </w:p>
        </w:tc>
        <w:tc>
          <w:tcPr>
            <w:tcW w:w="1838" w:type="dxa"/>
          </w:tcPr>
          <w:p w14:paraId="04F5B191" w14:textId="77777777" w:rsidR="00B12C49" w:rsidRPr="008278AC" w:rsidRDefault="00B12C49" w:rsidP="00A258D0">
            <w:pPr>
              <w:jc w:val="center"/>
            </w:pPr>
            <w:r w:rsidRPr="008278AC">
              <w:t>2,5</w:t>
            </w:r>
          </w:p>
        </w:tc>
      </w:tr>
      <w:tr w:rsidR="00B12C49" w:rsidRPr="00C13B7C" w14:paraId="187AF907" w14:textId="77777777" w:rsidTr="00A258D0">
        <w:tc>
          <w:tcPr>
            <w:tcW w:w="1891" w:type="dxa"/>
          </w:tcPr>
          <w:p w14:paraId="6A0A9E03" w14:textId="77777777" w:rsidR="00B12C49" w:rsidRPr="008278AC" w:rsidRDefault="00B12C49" w:rsidP="00A258D0">
            <w:r w:rsidRPr="008278AC">
              <w:t>A18</w:t>
            </w:r>
          </w:p>
        </w:tc>
        <w:tc>
          <w:tcPr>
            <w:tcW w:w="1887" w:type="dxa"/>
          </w:tcPr>
          <w:p w14:paraId="345CBDDF" w14:textId="77777777" w:rsidR="00B12C49" w:rsidRPr="008278AC" w:rsidRDefault="00B12C49" w:rsidP="00A258D0">
            <w:pPr>
              <w:jc w:val="center"/>
            </w:pPr>
          </w:p>
        </w:tc>
        <w:tc>
          <w:tcPr>
            <w:tcW w:w="1934" w:type="dxa"/>
          </w:tcPr>
          <w:p w14:paraId="64ECD340" w14:textId="77777777" w:rsidR="00B12C49" w:rsidRPr="008278AC" w:rsidRDefault="00B12C49" w:rsidP="00A258D0">
            <w:pPr>
              <w:jc w:val="center"/>
            </w:pPr>
          </w:p>
        </w:tc>
        <w:tc>
          <w:tcPr>
            <w:tcW w:w="1512" w:type="dxa"/>
          </w:tcPr>
          <w:p w14:paraId="6C7123C7" w14:textId="77777777" w:rsidR="00B12C49" w:rsidRPr="008278AC" w:rsidRDefault="00B12C49" w:rsidP="00A258D0">
            <w:pPr>
              <w:jc w:val="center"/>
            </w:pPr>
            <w:r w:rsidRPr="008278AC">
              <w:t>360,92</w:t>
            </w:r>
          </w:p>
        </w:tc>
        <w:tc>
          <w:tcPr>
            <w:tcW w:w="1838" w:type="dxa"/>
          </w:tcPr>
          <w:p w14:paraId="4B7667DA" w14:textId="77777777" w:rsidR="00B12C49" w:rsidRPr="008278AC" w:rsidRDefault="00B12C49" w:rsidP="00A258D0">
            <w:pPr>
              <w:jc w:val="center"/>
            </w:pPr>
            <w:r w:rsidRPr="008278AC">
              <w:t>8,0</w:t>
            </w:r>
          </w:p>
        </w:tc>
      </w:tr>
      <w:tr w:rsidR="00B12C49" w:rsidRPr="00C13B7C" w14:paraId="0542DBAA" w14:textId="77777777" w:rsidTr="00A258D0">
        <w:tc>
          <w:tcPr>
            <w:tcW w:w="1891" w:type="dxa"/>
          </w:tcPr>
          <w:p w14:paraId="40B04B6C" w14:textId="77777777" w:rsidR="00B12C49" w:rsidRPr="008278AC" w:rsidRDefault="00B12C49" w:rsidP="00A258D0">
            <w:r w:rsidRPr="008278AC">
              <w:t>A19</w:t>
            </w:r>
          </w:p>
        </w:tc>
        <w:tc>
          <w:tcPr>
            <w:tcW w:w="1887" w:type="dxa"/>
          </w:tcPr>
          <w:p w14:paraId="464A4BD2" w14:textId="77777777" w:rsidR="00B12C49" w:rsidRPr="008278AC" w:rsidRDefault="00B12C49" w:rsidP="00A258D0">
            <w:pPr>
              <w:jc w:val="center"/>
            </w:pPr>
            <w:r w:rsidRPr="008278AC">
              <w:t>791 204,10</w:t>
            </w:r>
          </w:p>
        </w:tc>
        <w:tc>
          <w:tcPr>
            <w:tcW w:w="1934" w:type="dxa"/>
          </w:tcPr>
          <w:p w14:paraId="2B4B8C1C" w14:textId="77777777" w:rsidR="00B12C49" w:rsidRPr="008278AC" w:rsidRDefault="00B12C49" w:rsidP="00A258D0">
            <w:pPr>
              <w:jc w:val="center"/>
            </w:pPr>
            <w:r w:rsidRPr="008278AC">
              <w:t>1 035 567,55</w:t>
            </w:r>
          </w:p>
        </w:tc>
        <w:tc>
          <w:tcPr>
            <w:tcW w:w="1512" w:type="dxa"/>
          </w:tcPr>
          <w:p w14:paraId="0C4AD954" w14:textId="77777777" w:rsidR="00B12C49" w:rsidRPr="008278AC" w:rsidRDefault="00B12C49" w:rsidP="00A258D0">
            <w:pPr>
              <w:jc w:val="center"/>
            </w:pPr>
            <w:r w:rsidRPr="008278AC">
              <w:t>366,191</w:t>
            </w:r>
          </w:p>
        </w:tc>
        <w:tc>
          <w:tcPr>
            <w:tcW w:w="1838" w:type="dxa"/>
          </w:tcPr>
          <w:p w14:paraId="2E80261C" w14:textId="77777777" w:rsidR="00B12C49" w:rsidRPr="008278AC" w:rsidRDefault="00B12C49" w:rsidP="00A258D0">
            <w:pPr>
              <w:jc w:val="center"/>
            </w:pPr>
            <w:r w:rsidRPr="008278AC">
              <w:t>21,5</w:t>
            </w:r>
          </w:p>
        </w:tc>
      </w:tr>
      <w:tr w:rsidR="00B12C49" w:rsidRPr="00C13B7C" w14:paraId="3F209637" w14:textId="77777777" w:rsidTr="00A258D0">
        <w:tc>
          <w:tcPr>
            <w:tcW w:w="1891" w:type="dxa"/>
          </w:tcPr>
          <w:p w14:paraId="70F1B3EA" w14:textId="77777777" w:rsidR="00B12C49" w:rsidRPr="008278AC" w:rsidRDefault="00B12C49" w:rsidP="00A258D0">
            <w:r w:rsidRPr="008278AC">
              <w:t>A20</w:t>
            </w:r>
          </w:p>
        </w:tc>
        <w:tc>
          <w:tcPr>
            <w:tcW w:w="1887" w:type="dxa"/>
          </w:tcPr>
          <w:p w14:paraId="039009D4" w14:textId="77777777" w:rsidR="00B12C49" w:rsidRPr="008278AC" w:rsidRDefault="00B12C49" w:rsidP="00A258D0">
            <w:pPr>
              <w:jc w:val="center"/>
            </w:pPr>
            <w:r w:rsidRPr="008278AC">
              <w:t>791 368,50</w:t>
            </w:r>
          </w:p>
        </w:tc>
        <w:tc>
          <w:tcPr>
            <w:tcW w:w="1934" w:type="dxa"/>
          </w:tcPr>
          <w:p w14:paraId="47D5BA32" w14:textId="77777777" w:rsidR="00B12C49" w:rsidRPr="008278AC" w:rsidRDefault="00B12C49" w:rsidP="00A258D0">
            <w:pPr>
              <w:jc w:val="center"/>
            </w:pPr>
            <w:r w:rsidRPr="008278AC">
              <w:t>1 035 640,60</w:t>
            </w:r>
          </w:p>
        </w:tc>
        <w:tc>
          <w:tcPr>
            <w:tcW w:w="1512" w:type="dxa"/>
          </w:tcPr>
          <w:p w14:paraId="6D54E222" w14:textId="77777777" w:rsidR="00B12C49" w:rsidRPr="008278AC" w:rsidRDefault="00B12C49" w:rsidP="00A258D0">
            <w:pPr>
              <w:jc w:val="center"/>
            </w:pPr>
            <w:r w:rsidRPr="008278AC">
              <w:t>368,011</w:t>
            </w:r>
          </w:p>
        </w:tc>
        <w:tc>
          <w:tcPr>
            <w:tcW w:w="1838" w:type="dxa"/>
          </w:tcPr>
          <w:p w14:paraId="6C74279D" w14:textId="77777777" w:rsidR="00B12C49" w:rsidRPr="008278AC" w:rsidRDefault="00B12C49" w:rsidP="00A258D0">
            <w:pPr>
              <w:jc w:val="center"/>
            </w:pPr>
            <w:r w:rsidRPr="008278AC">
              <w:t>92,5</w:t>
            </w:r>
          </w:p>
        </w:tc>
      </w:tr>
      <w:tr w:rsidR="00B12C49" w:rsidRPr="00C13B7C" w14:paraId="14A24916" w14:textId="77777777" w:rsidTr="00A258D0">
        <w:tc>
          <w:tcPr>
            <w:tcW w:w="1891" w:type="dxa"/>
          </w:tcPr>
          <w:p w14:paraId="602F9046" w14:textId="77777777" w:rsidR="00B12C49" w:rsidRPr="008278AC" w:rsidRDefault="00B12C49" w:rsidP="00A258D0">
            <w:r w:rsidRPr="008278AC">
              <w:t>A21</w:t>
            </w:r>
          </w:p>
        </w:tc>
        <w:tc>
          <w:tcPr>
            <w:tcW w:w="1887" w:type="dxa"/>
          </w:tcPr>
          <w:p w14:paraId="1BBEB489" w14:textId="77777777" w:rsidR="00B12C49" w:rsidRPr="008278AC" w:rsidRDefault="00B12C49" w:rsidP="00A258D0">
            <w:pPr>
              <w:jc w:val="center"/>
            </w:pPr>
          </w:p>
        </w:tc>
        <w:tc>
          <w:tcPr>
            <w:tcW w:w="1934" w:type="dxa"/>
          </w:tcPr>
          <w:p w14:paraId="7E209CD8" w14:textId="77777777" w:rsidR="00B12C49" w:rsidRPr="008278AC" w:rsidRDefault="00B12C49" w:rsidP="00A258D0">
            <w:pPr>
              <w:jc w:val="center"/>
            </w:pPr>
          </w:p>
        </w:tc>
        <w:tc>
          <w:tcPr>
            <w:tcW w:w="1512" w:type="dxa"/>
          </w:tcPr>
          <w:p w14:paraId="442E09B2" w14:textId="77777777" w:rsidR="00B12C49" w:rsidRPr="008278AC" w:rsidRDefault="00B12C49" w:rsidP="00A258D0">
            <w:pPr>
              <w:jc w:val="center"/>
            </w:pPr>
            <w:r w:rsidRPr="008278AC">
              <w:t>372,80</w:t>
            </w:r>
          </w:p>
        </w:tc>
        <w:tc>
          <w:tcPr>
            <w:tcW w:w="1838" w:type="dxa"/>
          </w:tcPr>
          <w:p w14:paraId="3536DBFD" w14:textId="77777777" w:rsidR="00B12C49" w:rsidRPr="008278AC" w:rsidRDefault="00B12C49" w:rsidP="00A258D0">
            <w:pPr>
              <w:jc w:val="center"/>
            </w:pPr>
            <w:r w:rsidRPr="008278AC">
              <w:t>3,0</w:t>
            </w:r>
          </w:p>
        </w:tc>
      </w:tr>
      <w:tr w:rsidR="00B12C49" w:rsidRPr="00C13B7C" w14:paraId="0B344913" w14:textId="77777777" w:rsidTr="00A258D0">
        <w:tc>
          <w:tcPr>
            <w:tcW w:w="1891" w:type="dxa"/>
          </w:tcPr>
          <w:p w14:paraId="30DA921B" w14:textId="77777777" w:rsidR="00B12C49" w:rsidRPr="008278AC" w:rsidRDefault="00B12C49" w:rsidP="00A258D0">
            <w:r w:rsidRPr="008278AC">
              <w:t>A22</w:t>
            </w:r>
          </w:p>
        </w:tc>
        <w:tc>
          <w:tcPr>
            <w:tcW w:w="1887" w:type="dxa"/>
          </w:tcPr>
          <w:p w14:paraId="4C23E9BA" w14:textId="77777777" w:rsidR="00B12C49" w:rsidRPr="008278AC" w:rsidRDefault="00B12C49" w:rsidP="00A258D0">
            <w:pPr>
              <w:jc w:val="center"/>
            </w:pPr>
            <w:r w:rsidRPr="008278AC">
              <w:t>791 690,20</w:t>
            </w:r>
          </w:p>
        </w:tc>
        <w:tc>
          <w:tcPr>
            <w:tcW w:w="1934" w:type="dxa"/>
          </w:tcPr>
          <w:p w14:paraId="18CA6F32" w14:textId="77777777" w:rsidR="00B12C49" w:rsidRPr="008278AC" w:rsidRDefault="00B12C49" w:rsidP="00A258D0">
            <w:pPr>
              <w:jc w:val="center"/>
            </w:pPr>
            <w:r w:rsidRPr="008278AC">
              <w:t>1 035 659,13</w:t>
            </w:r>
          </w:p>
        </w:tc>
        <w:tc>
          <w:tcPr>
            <w:tcW w:w="1512" w:type="dxa"/>
          </w:tcPr>
          <w:p w14:paraId="291896D9" w14:textId="77777777" w:rsidR="00B12C49" w:rsidRPr="008278AC" w:rsidRDefault="00B12C49" w:rsidP="00A258D0">
            <w:pPr>
              <w:jc w:val="center"/>
            </w:pPr>
            <w:r w:rsidRPr="008278AC">
              <w:t>377,78</w:t>
            </w:r>
          </w:p>
        </w:tc>
        <w:tc>
          <w:tcPr>
            <w:tcW w:w="1838" w:type="dxa"/>
          </w:tcPr>
          <w:p w14:paraId="2F5FD9D3" w14:textId="77777777" w:rsidR="00B12C49" w:rsidRPr="008278AC" w:rsidRDefault="00B12C49" w:rsidP="00A258D0">
            <w:pPr>
              <w:jc w:val="center"/>
            </w:pPr>
            <w:r w:rsidRPr="008278AC">
              <w:t>19,5</w:t>
            </w:r>
          </w:p>
        </w:tc>
      </w:tr>
      <w:tr w:rsidR="00B12C49" w:rsidRPr="00C13B7C" w14:paraId="16311096" w14:textId="77777777" w:rsidTr="00A258D0">
        <w:tc>
          <w:tcPr>
            <w:tcW w:w="1891" w:type="dxa"/>
          </w:tcPr>
          <w:p w14:paraId="6FE41413" w14:textId="77777777" w:rsidR="00B12C49" w:rsidRPr="008278AC" w:rsidRDefault="00B12C49" w:rsidP="00A258D0">
            <w:r w:rsidRPr="008278AC">
              <w:t>A23</w:t>
            </w:r>
          </w:p>
        </w:tc>
        <w:tc>
          <w:tcPr>
            <w:tcW w:w="1887" w:type="dxa"/>
          </w:tcPr>
          <w:p w14:paraId="1BE30342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6F00B33F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08E9618A" w14:textId="77777777" w:rsidR="00B12C49" w:rsidRPr="008278AC" w:rsidRDefault="00B12C49" w:rsidP="00A258D0">
            <w:pPr>
              <w:jc w:val="center"/>
            </w:pPr>
            <w:r w:rsidRPr="008278AC">
              <w:t>371,90</w:t>
            </w:r>
          </w:p>
        </w:tc>
        <w:tc>
          <w:tcPr>
            <w:tcW w:w="1838" w:type="dxa"/>
          </w:tcPr>
          <w:p w14:paraId="7C4FA31A" w14:textId="77777777" w:rsidR="00B12C49" w:rsidRPr="008278AC" w:rsidRDefault="00B12C49" w:rsidP="00A258D0">
            <w:pPr>
              <w:jc w:val="center"/>
            </w:pPr>
            <w:r w:rsidRPr="008278AC">
              <w:t>5,0</w:t>
            </w:r>
          </w:p>
        </w:tc>
      </w:tr>
      <w:tr w:rsidR="00B12C49" w:rsidRPr="00C13B7C" w14:paraId="177C01CF" w14:textId="77777777" w:rsidTr="00A258D0">
        <w:tc>
          <w:tcPr>
            <w:tcW w:w="1891" w:type="dxa"/>
          </w:tcPr>
          <w:p w14:paraId="735612F2" w14:textId="77777777" w:rsidR="00B12C49" w:rsidRPr="008278AC" w:rsidRDefault="00B12C49" w:rsidP="00A258D0">
            <w:r w:rsidRPr="008278AC">
              <w:t>J1</w:t>
            </w:r>
          </w:p>
        </w:tc>
        <w:tc>
          <w:tcPr>
            <w:tcW w:w="1887" w:type="dxa"/>
          </w:tcPr>
          <w:p w14:paraId="4821C08E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51E4DE21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542A69F5" w14:textId="77777777" w:rsidR="00B12C49" w:rsidRPr="008278AC" w:rsidRDefault="00B12C49" w:rsidP="00A258D0">
            <w:pPr>
              <w:jc w:val="center"/>
            </w:pPr>
            <w:r w:rsidRPr="008278AC">
              <w:t>334,20</w:t>
            </w:r>
          </w:p>
        </w:tc>
        <w:tc>
          <w:tcPr>
            <w:tcW w:w="1838" w:type="dxa"/>
          </w:tcPr>
          <w:p w14:paraId="7A2FD143" w14:textId="77777777" w:rsidR="00B12C49" w:rsidRPr="008278AC" w:rsidRDefault="00B12C49" w:rsidP="00A258D0">
            <w:pPr>
              <w:jc w:val="center"/>
            </w:pPr>
            <w:r w:rsidRPr="008278AC">
              <w:t>4,0</w:t>
            </w:r>
          </w:p>
        </w:tc>
      </w:tr>
      <w:tr w:rsidR="00B12C49" w:rsidRPr="00C13B7C" w14:paraId="6D60FA0E" w14:textId="77777777" w:rsidTr="00A258D0">
        <w:tc>
          <w:tcPr>
            <w:tcW w:w="1891" w:type="dxa"/>
          </w:tcPr>
          <w:p w14:paraId="0B5E2F74" w14:textId="77777777" w:rsidR="00B12C49" w:rsidRPr="008278AC" w:rsidRDefault="00B12C49" w:rsidP="00A258D0">
            <w:r w:rsidRPr="008278AC">
              <w:t>J2</w:t>
            </w:r>
          </w:p>
        </w:tc>
        <w:tc>
          <w:tcPr>
            <w:tcW w:w="1887" w:type="dxa"/>
          </w:tcPr>
          <w:p w14:paraId="374F3308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74659517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781595BA" w14:textId="77777777" w:rsidR="00B12C49" w:rsidRPr="008278AC" w:rsidRDefault="00B12C49" w:rsidP="00A258D0">
            <w:pPr>
              <w:jc w:val="center"/>
            </w:pPr>
            <w:r w:rsidRPr="008278AC">
              <w:t>312,15</w:t>
            </w:r>
          </w:p>
        </w:tc>
        <w:tc>
          <w:tcPr>
            <w:tcW w:w="1838" w:type="dxa"/>
          </w:tcPr>
          <w:p w14:paraId="6F1E02DE" w14:textId="77777777" w:rsidR="00B12C49" w:rsidRPr="008278AC" w:rsidRDefault="00B12C49" w:rsidP="00A258D0">
            <w:pPr>
              <w:jc w:val="center"/>
            </w:pPr>
            <w:r w:rsidRPr="008278AC">
              <w:t>9,0</w:t>
            </w:r>
          </w:p>
        </w:tc>
      </w:tr>
      <w:tr w:rsidR="00B12C49" w:rsidRPr="00C13B7C" w14:paraId="52761BED" w14:textId="77777777" w:rsidTr="00A258D0">
        <w:tc>
          <w:tcPr>
            <w:tcW w:w="1891" w:type="dxa"/>
          </w:tcPr>
          <w:p w14:paraId="3C65CB38" w14:textId="77777777" w:rsidR="00B12C49" w:rsidRPr="008278AC" w:rsidRDefault="00B12C49" w:rsidP="00A258D0">
            <w:r w:rsidRPr="008278AC">
              <w:t>J3</w:t>
            </w:r>
          </w:p>
        </w:tc>
        <w:tc>
          <w:tcPr>
            <w:tcW w:w="1887" w:type="dxa"/>
          </w:tcPr>
          <w:p w14:paraId="2831FEFC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210FC2A5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74AAF726" w14:textId="77777777" w:rsidR="00B12C49" w:rsidRPr="008278AC" w:rsidRDefault="00B12C49" w:rsidP="00A258D0">
            <w:pPr>
              <w:jc w:val="center"/>
            </w:pPr>
            <w:r w:rsidRPr="008278AC">
              <w:t>337,35</w:t>
            </w:r>
          </w:p>
        </w:tc>
        <w:tc>
          <w:tcPr>
            <w:tcW w:w="1838" w:type="dxa"/>
          </w:tcPr>
          <w:p w14:paraId="5DD86A62" w14:textId="77777777" w:rsidR="00B12C49" w:rsidRPr="008278AC" w:rsidRDefault="00B12C49" w:rsidP="00A258D0">
            <w:pPr>
              <w:jc w:val="center"/>
            </w:pPr>
            <w:r w:rsidRPr="008278AC">
              <w:t>18,0</w:t>
            </w:r>
          </w:p>
        </w:tc>
      </w:tr>
      <w:tr w:rsidR="00B12C49" w:rsidRPr="00C13B7C" w14:paraId="66301842" w14:textId="77777777" w:rsidTr="00A258D0">
        <w:tc>
          <w:tcPr>
            <w:tcW w:w="1891" w:type="dxa"/>
          </w:tcPr>
          <w:p w14:paraId="181A2346" w14:textId="77777777" w:rsidR="00B12C49" w:rsidRPr="008278AC" w:rsidRDefault="00B12C49" w:rsidP="00A258D0">
            <w:r w:rsidRPr="008278AC">
              <w:t>J4</w:t>
            </w:r>
          </w:p>
        </w:tc>
        <w:tc>
          <w:tcPr>
            <w:tcW w:w="1887" w:type="dxa"/>
          </w:tcPr>
          <w:p w14:paraId="3DC7F58B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3B23A96B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62273221" w14:textId="77777777" w:rsidR="00B12C49" w:rsidRPr="008278AC" w:rsidRDefault="00B12C49" w:rsidP="00A258D0">
            <w:pPr>
              <w:jc w:val="center"/>
            </w:pPr>
            <w:r w:rsidRPr="008278AC">
              <w:t>362,55</w:t>
            </w:r>
          </w:p>
        </w:tc>
        <w:tc>
          <w:tcPr>
            <w:tcW w:w="1838" w:type="dxa"/>
          </w:tcPr>
          <w:p w14:paraId="14BB080A" w14:textId="77777777" w:rsidR="00B12C49" w:rsidRPr="008278AC" w:rsidRDefault="00B12C49" w:rsidP="00A258D0">
            <w:pPr>
              <w:jc w:val="center"/>
            </w:pPr>
            <w:r w:rsidRPr="008278AC">
              <w:t>4,0</w:t>
            </w:r>
          </w:p>
        </w:tc>
      </w:tr>
      <w:tr w:rsidR="00B12C49" w:rsidRPr="00C13B7C" w14:paraId="3990BC0B" w14:textId="77777777" w:rsidTr="00A258D0">
        <w:tc>
          <w:tcPr>
            <w:tcW w:w="1891" w:type="dxa"/>
          </w:tcPr>
          <w:p w14:paraId="5E1F97C2" w14:textId="77777777" w:rsidR="00B12C49" w:rsidRPr="008278AC" w:rsidRDefault="00B12C49" w:rsidP="00A258D0">
            <w:r w:rsidRPr="008278AC">
              <w:t>J5</w:t>
            </w:r>
          </w:p>
        </w:tc>
        <w:tc>
          <w:tcPr>
            <w:tcW w:w="1887" w:type="dxa"/>
          </w:tcPr>
          <w:p w14:paraId="7D0DCA02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934" w:type="dxa"/>
          </w:tcPr>
          <w:p w14:paraId="150BBB72" w14:textId="77777777" w:rsidR="00B12C49" w:rsidRPr="008278AC" w:rsidRDefault="00B12C49" w:rsidP="00A258D0">
            <w:pPr>
              <w:jc w:val="center"/>
              <w:rPr>
                <w:highlight w:val="yellow"/>
              </w:rPr>
            </w:pPr>
          </w:p>
        </w:tc>
        <w:tc>
          <w:tcPr>
            <w:tcW w:w="1512" w:type="dxa"/>
          </w:tcPr>
          <w:p w14:paraId="7E22BCAF" w14:textId="77777777" w:rsidR="00B12C49" w:rsidRPr="008278AC" w:rsidRDefault="00B12C49" w:rsidP="00A258D0">
            <w:pPr>
              <w:jc w:val="center"/>
            </w:pPr>
            <w:r w:rsidRPr="008278AC">
              <w:t>376,10</w:t>
            </w:r>
          </w:p>
        </w:tc>
        <w:tc>
          <w:tcPr>
            <w:tcW w:w="1838" w:type="dxa"/>
          </w:tcPr>
          <w:p w14:paraId="15AD6F3A" w14:textId="77777777" w:rsidR="00B12C49" w:rsidRPr="008278AC" w:rsidRDefault="00B12C49" w:rsidP="00A258D0">
            <w:pPr>
              <w:jc w:val="center"/>
            </w:pPr>
            <w:r w:rsidRPr="008278AC">
              <w:t>4,0</w:t>
            </w:r>
          </w:p>
        </w:tc>
      </w:tr>
    </w:tbl>
    <w:p w14:paraId="008ABFC7" w14:textId="77777777" w:rsidR="00D724D3" w:rsidRPr="00C13B7C" w:rsidRDefault="00D724D3" w:rsidP="007F3F7D">
      <w:pPr>
        <w:jc w:val="both"/>
        <w:rPr>
          <w:sz w:val="24"/>
          <w:szCs w:val="24"/>
          <w:highlight w:val="yellow"/>
        </w:rPr>
      </w:pPr>
    </w:p>
    <w:p w14:paraId="65EBD73C" w14:textId="7B32E050" w:rsidR="00923A3E" w:rsidRDefault="00D724D3" w:rsidP="00722AA0">
      <w:pPr>
        <w:spacing w:line="276" w:lineRule="auto"/>
        <w:jc w:val="both"/>
        <w:rPr>
          <w:b/>
          <w:sz w:val="24"/>
          <w:szCs w:val="24"/>
        </w:rPr>
      </w:pPr>
      <w:r w:rsidRPr="00C34752">
        <w:rPr>
          <w:sz w:val="24"/>
          <w:szCs w:val="24"/>
        </w:rPr>
        <w:t xml:space="preserve">Data z archivních vrtů jsou použity při popisu geologie studované oblasti v kapitole </w:t>
      </w:r>
      <w:r w:rsidR="00174DCB">
        <w:rPr>
          <w:b/>
          <w:sz w:val="24"/>
          <w:szCs w:val="24"/>
        </w:rPr>
        <w:t>3</w:t>
      </w:r>
      <w:r w:rsidRPr="00C34752">
        <w:rPr>
          <w:b/>
          <w:sz w:val="24"/>
          <w:szCs w:val="24"/>
        </w:rPr>
        <w:t>.2 Geologické poměry.</w:t>
      </w:r>
    </w:p>
    <w:p w14:paraId="23ACFD81" w14:textId="77777777" w:rsidR="00B72156" w:rsidRPr="00C34752" w:rsidRDefault="00B72156" w:rsidP="007F3F7D">
      <w:pPr>
        <w:jc w:val="both"/>
        <w:rPr>
          <w:b/>
          <w:sz w:val="24"/>
          <w:szCs w:val="24"/>
        </w:rPr>
      </w:pPr>
    </w:p>
    <w:p w14:paraId="3E860199" w14:textId="6A5D3606" w:rsidR="0000265F" w:rsidRPr="007B60DA" w:rsidRDefault="00174DCB" w:rsidP="0000265F">
      <w:pPr>
        <w:pStyle w:val="Nadpis2"/>
      </w:pPr>
      <w:bookmarkStart w:id="14" w:name="_Toc37165912"/>
      <w:r>
        <w:t>3</w:t>
      </w:r>
      <w:r w:rsidR="000C39A0" w:rsidRPr="007B60DA">
        <w:t xml:space="preserve">.6 </w:t>
      </w:r>
      <w:r w:rsidR="0000265F" w:rsidRPr="007B60DA">
        <w:t>Území se zvláštní ochranou</w:t>
      </w:r>
      <w:bookmarkEnd w:id="14"/>
    </w:p>
    <w:p w14:paraId="35F82C37" w14:textId="77777777" w:rsidR="00EB6FD3" w:rsidRPr="00C13B7C" w:rsidRDefault="007B60DA" w:rsidP="00722AA0">
      <w:pPr>
        <w:spacing w:line="276" w:lineRule="auto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Z</w:t>
      </w:r>
      <w:r w:rsidR="0000265F" w:rsidRPr="007B60DA">
        <w:rPr>
          <w:sz w:val="24"/>
          <w:szCs w:val="24"/>
        </w:rPr>
        <w:t>ájmové</w:t>
      </w:r>
      <w:r w:rsidRPr="007B60DA">
        <w:rPr>
          <w:sz w:val="24"/>
          <w:szCs w:val="24"/>
        </w:rPr>
        <w:t>ho</w:t>
      </w:r>
      <w:r w:rsidR="0000265F" w:rsidRPr="007B60DA">
        <w:rPr>
          <w:sz w:val="24"/>
          <w:szCs w:val="24"/>
        </w:rPr>
        <w:t xml:space="preserve"> území </w:t>
      </w:r>
      <w:r w:rsidR="0041135D">
        <w:rPr>
          <w:sz w:val="24"/>
          <w:szCs w:val="24"/>
        </w:rPr>
        <w:t>protíná ochranné pásmo</w:t>
      </w:r>
      <w:r>
        <w:rPr>
          <w:sz w:val="24"/>
          <w:szCs w:val="24"/>
        </w:rPr>
        <w:t xml:space="preserve"> </w:t>
      </w:r>
      <w:r w:rsidRPr="007B60DA">
        <w:rPr>
          <w:sz w:val="24"/>
          <w:szCs w:val="24"/>
        </w:rPr>
        <w:t>CHKO Křivoklátsko</w:t>
      </w:r>
      <w:r w:rsidR="0041135D">
        <w:rPr>
          <w:sz w:val="24"/>
          <w:szCs w:val="24"/>
        </w:rPr>
        <w:t xml:space="preserve"> zhruba v km 1,6</w:t>
      </w:r>
      <w:r w:rsidR="008040FB">
        <w:rPr>
          <w:sz w:val="24"/>
          <w:szCs w:val="24"/>
        </w:rPr>
        <w:t xml:space="preserve"> plánované trasy</w:t>
      </w:r>
      <w:r w:rsidR="0041135D">
        <w:rPr>
          <w:sz w:val="24"/>
          <w:szCs w:val="24"/>
        </w:rPr>
        <w:t xml:space="preserve">. CHKO </w:t>
      </w:r>
      <w:r w:rsidR="0041135D" w:rsidRPr="0041135D">
        <w:rPr>
          <w:sz w:val="24"/>
          <w:szCs w:val="24"/>
        </w:rPr>
        <w:t>Křivoklátsko má rozlohu 628 km².</w:t>
      </w:r>
      <w:r w:rsidR="0041135D" w:rsidRPr="0041135D">
        <w:t xml:space="preserve"> </w:t>
      </w:r>
      <w:r w:rsidR="0041135D">
        <w:rPr>
          <w:sz w:val="24"/>
          <w:szCs w:val="24"/>
        </w:rPr>
        <w:t>Od roku</w:t>
      </w:r>
      <w:r w:rsidR="0041135D" w:rsidRPr="0041135D">
        <w:rPr>
          <w:sz w:val="24"/>
          <w:szCs w:val="24"/>
        </w:rPr>
        <w:t xml:space="preserve"> 1977 </w:t>
      </w:r>
      <w:r w:rsidR="0041135D">
        <w:rPr>
          <w:sz w:val="24"/>
          <w:szCs w:val="24"/>
        </w:rPr>
        <w:t>je</w:t>
      </w:r>
      <w:r w:rsidR="0041135D" w:rsidRPr="0041135D">
        <w:rPr>
          <w:sz w:val="24"/>
          <w:szCs w:val="24"/>
        </w:rPr>
        <w:t xml:space="preserve"> Křivoklátsko biosférickou rezervací UNESCO, později </w:t>
      </w:r>
      <w:r w:rsidR="0041135D">
        <w:rPr>
          <w:sz w:val="24"/>
          <w:szCs w:val="24"/>
        </w:rPr>
        <w:t xml:space="preserve">se stalo </w:t>
      </w:r>
      <w:r w:rsidR="0041135D" w:rsidRPr="0041135D">
        <w:rPr>
          <w:sz w:val="24"/>
          <w:szCs w:val="24"/>
        </w:rPr>
        <w:t xml:space="preserve">i ptačí oblastí v rámci soustavy Natura 2000. </w:t>
      </w:r>
      <w:r w:rsidR="0041135D">
        <w:rPr>
          <w:sz w:val="24"/>
          <w:szCs w:val="24"/>
        </w:rPr>
        <w:t>Do budoucna se připravuje</w:t>
      </w:r>
      <w:r w:rsidR="0041135D" w:rsidRPr="0041135D">
        <w:rPr>
          <w:sz w:val="24"/>
          <w:szCs w:val="24"/>
        </w:rPr>
        <w:t xml:space="preserve"> přechod na vyšší stupeň ochrany vytvořením Národního parku z přírodně nejcennější části.</w:t>
      </w:r>
    </w:p>
    <w:p w14:paraId="63BEE811" w14:textId="77777777" w:rsidR="00E87CAC" w:rsidRPr="001C2BAB" w:rsidRDefault="00E87CAC" w:rsidP="00722AA0">
      <w:pPr>
        <w:spacing w:line="276" w:lineRule="auto"/>
        <w:jc w:val="both"/>
        <w:rPr>
          <w:sz w:val="24"/>
          <w:szCs w:val="24"/>
          <w:highlight w:val="yellow"/>
        </w:rPr>
      </w:pPr>
    </w:p>
    <w:p w14:paraId="25C82B43" w14:textId="1CB87C85" w:rsidR="00D771EB" w:rsidRPr="000549D0" w:rsidRDefault="00174DCB" w:rsidP="00BB70B4">
      <w:pPr>
        <w:pStyle w:val="Nadpis1"/>
      </w:pPr>
      <w:bookmarkStart w:id="15" w:name="_Toc500231589"/>
      <w:bookmarkStart w:id="16" w:name="_Toc37165913"/>
      <w:r>
        <w:t>4</w:t>
      </w:r>
      <w:r w:rsidR="00893A79" w:rsidRPr="000549D0">
        <w:t xml:space="preserve">. </w:t>
      </w:r>
      <w:r w:rsidR="00570E06" w:rsidRPr="000549D0">
        <w:t>Rozsah a metodika prací</w:t>
      </w:r>
      <w:bookmarkEnd w:id="15"/>
      <w:bookmarkEnd w:id="16"/>
    </w:p>
    <w:p w14:paraId="0B3066DC" w14:textId="7361EC14" w:rsidR="00570E06" w:rsidRPr="000549D0" w:rsidRDefault="00570E06" w:rsidP="00722AA0">
      <w:pPr>
        <w:spacing w:line="276" w:lineRule="auto"/>
        <w:jc w:val="both"/>
        <w:rPr>
          <w:sz w:val="24"/>
          <w:szCs w:val="24"/>
        </w:rPr>
      </w:pPr>
      <w:r w:rsidRPr="000549D0">
        <w:rPr>
          <w:sz w:val="24"/>
          <w:szCs w:val="24"/>
        </w:rPr>
        <w:t xml:space="preserve">Níže </w:t>
      </w:r>
      <w:r w:rsidR="000549D0" w:rsidRPr="000549D0">
        <w:rPr>
          <w:sz w:val="24"/>
          <w:szCs w:val="24"/>
        </w:rPr>
        <w:t>uvádíme</w:t>
      </w:r>
      <w:r w:rsidRPr="000549D0">
        <w:rPr>
          <w:sz w:val="24"/>
          <w:szCs w:val="24"/>
        </w:rPr>
        <w:t xml:space="preserve"> popis metodiky a </w:t>
      </w:r>
      <w:r w:rsidR="00F11A42">
        <w:rPr>
          <w:sz w:val="24"/>
          <w:szCs w:val="24"/>
        </w:rPr>
        <w:t xml:space="preserve">nutného </w:t>
      </w:r>
      <w:r w:rsidRPr="000549D0">
        <w:rPr>
          <w:sz w:val="24"/>
          <w:szCs w:val="24"/>
        </w:rPr>
        <w:t xml:space="preserve">rozsahu prací </w:t>
      </w:r>
      <w:r w:rsidR="00F11A42">
        <w:rPr>
          <w:sz w:val="24"/>
          <w:szCs w:val="24"/>
        </w:rPr>
        <w:t xml:space="preserve">hydrogeologického </w:t>
      </w:r>
      <w:r w:rsidR="00F90D11">
        <w:rPr>
          <w:sz w:val="24"/>
          <w:szCs w:val="24"/>
        </w:rPr>
        <w:t>monitoringu a ověření starých důlních děl</w:t>
      </w:r>
      <w:r w:rsidRPr="000549D0">
        <w:rPr>
          <w:sz w:val="24"/>
          <w:szCs w:val="24"/>
        </w:rPr>
        <w:t>. T</w:t>
      </w:r>
      <w:r w:rsidR="00F90D11">
        <w:rPr>
          <w:sz w:val="24"/>
          <w:szCs w:val="24"/>
        </w:rPr>
        <w:t>ento</w:t>
      </w:r>
      <w:r w:rsidRPr="000549D0">
        <w:rPr>
          <w:sz w:val="24"/>
          <w:szCs w:val="24"/>
        </w:rPr>
        <w:t xml:space="preserve"> </w:t>
      </w:r>
      <w:r w:rsidR="000549D0" w:rsidRPr="000549D0">
        <w:rPr>
          <w:sz w:val="24"/>
          <w:szCs w:val="24"/>
        </w:rPr>
        <w:t>průzkum</w:t>
      </w:r>
      <w:r w:rsidRPr="000549D0">
        <w:rPr>
          <w:sz w:val="24"/>
          <w:szCs w:val="24"/>
        </w:rPr>
        <w:t xml:space="preserve"> </w:t>
      </w:r>
      <w:r w:rsidR="0099351D" w:rsidRPr="000549D0">
        <w:rPr>
          <w:sz w:val="24"/>
          <w:szCs w:val="24"/>
        </w:rPr>
        <w:t>by měl podat</w:t>
      </w:r>
      <w:r w:rsidRPr="000549D0">
        <w:rPr>
          <w:sz w:val="24"/>
          <w:szCs w:val="24"/>
        </w:rPr>
        <w:t xml:space="preserve"> informace o </w:t>
      </w:r>
      <w:r w:rsidR="00174DCB">
        <w:rPr>
          <w:sz w:val="24"/>
          <w:szCs w:val="24"/>
        </w:rPr>
        <w:t>příp.</w:t>
      </w:r>
      <w:r w:rsidR="00F90D11">
        <w:rPr>
          <w:sz w:val="24"/>
          <w:szCs w:val="24"/>
        </w:rPr>
        <w:t xml:space="preserve"> výskytu starých důlních děl</w:t>
      </w:r>
      <w:r w:rsidRPr="000549D0">
        <w:rPr>
          <w:sz w:val="24"/>
          <w:szCs w:val="24"/>
        </w:rPr>
        <w:t>, ve vztahu k plánované výstavbě. Koncepčně jsou navržené práce členěny následovně:</w:t>
      </w:r>
    </w:p>
    <w:p w14:paraId="5AE6BE44" w14:textId="77777777" w:rsidR="00570E06" w:rsidRPr="00C13B7C" w:rsidRDefault="00570E06" w:rsidP="007F3F7D">
      <w:pPr>
        <w:jc w:val="both"/>
        <w:rPr>
          <w:sz w:val="24"/>
          <w:szCs w:val="24"/>
          <w:highlight w:val="yellow"/>
        </w:rPr>
      </w:pPr>
    </w:p>
    <w:p w14:paraId="611E2752" w14:textId="77777777" w:rsidR="00570E06" w:rsidRPr="007B7E84" w:rsidRDefault="00570E06" w:rsidP="00570E06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7B7E84">
        <w:rPr>
          <w:sz w:val="24"/>
          <w:szCs w:val="24"/>
        </w:rPr>
        <w:t>Přípravné a projekční práce:</w:t>
      </w:r>
    </w:p>
    <w:p w14:paraId="5CD74EDA" w14:textId="77777777" w:rsidR="00170CB5" w:rsidRPr="007B7E84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</w:p>
    <w:p w14:paraId="4AF8E7C6" w14:textId="77777777" w:rsidR="00170CB5" w:rsidRPr="0094534A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  <w:r w:rsidRPr="0094534A">
        <w:rPr>
          <w:sz w:val="24"/>
          <w:szCs w:val="24"/>
        </w:rPr>
        <w:t>Rekognoskace terénu, rešeršní práce, oznamovací povinnosti</w:t>
      </w:r>
    </w:p>
    <w:p w14:paraId="40677D5A" w14:textId="77777777" w:rsidR="0024114E" w:rsidRPr="007B7E84" w:rsidRDefault="00923A3E" w:rsidP="0024114E">
      <w:pPr>
        <w:pStyle w:val="Odstavecseseznamem"/>
        <w:ind w:left="1080"/>
        <w:jc w:val="both"/>
        <w:rPr>
          <w:sz w:val="24"/>
          <w:szCs w:val="24"/>
        </w:rPr>
      </w:pPr>
      <w:r w:rsidRPr="007B7E84">
        <w:rPr>
          <w:sz w:val="24"/>
          <w:szCs w:val="24"/>
        </w:rPr>
        <w:t xml:space="preserve">Zajištění </w:t>
      </w:r>
      <w:r w:rsidR="0024114E" w:rsidRPr="007B7E84">
        <w:rPr>
          <w:sz w:val="24"/>
          <w:szCs w:val="24"/>
        </w:rPr>
        <w:t>vstup</w:t>
      </w:r>
      <w:r w:rsidRPr="007B7E84">
        <w:rPr>
          <w:sz w:val="24"/>
          <w:szCs w:val="24"/>
        </w:rPr>
        <w:t>u</w:t>
      </w:r>
      <w:r w:rsidR="0024114E" w:rsidRPr="007B7E84">
        <w:rPr>
          <w:sz w:val="24"/>
          <w:szCs w:val="24"/>
        </w:rPr>
        <w:t xml:space="preserve"> na pozemky a zjištění, případně vytyčení IS</w:t>
      </w:r>
      <w:r w:rsidRPr="007B7E84">
        <w:rPr>
          <w:sz w:val="24"/>
          <w:szCs w:val="24"/>
        </w:rPr>
        <w:t xml:space="preserve"> sítí</w:t>
      </w:r>
    </w:p>
    <w:p w14:paraId="5D40CD3F" w14:textId="77777777" w:rsidR="00BA4B9D" w:rsidRPr="007B7E84" w:rsidRDefault="00BA4B9D" w:rsidP="0024114E">
      <w:pPr>
        <w:pStyle w:val="Odstavecseseznamem"/>
        <w:ind w:left="1080"/>
        <w:jc w:val="both"/>
        <w:rPr>
          <w:sz w:val="24"/>
          <w:szCs w:val="24"/>
        </w:rPr>
      </w:pPr>
    </w:p>
    <w:p w14:paraId="1A0EC4C7" w14:textId="77777777" w:rsidR="00170CB5" w:rsidRPr="007B7E84" w:rsidRDefault="00170CB5" w:rsidP="00570E06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7B7E84">
        <w:rPr>
          <w:sz w:val="24"/>
          <w:szCs w:val="24"/>
        </w:rPr>
        <w:t>Terénní průzkumné práce:</w:t>
      </w:r>
    </w:p>
    <w:p w14:paraId="439FC66F" w14:textId="77777777" w:rsidR="00170CB5" w:rsidRPr="007B7E84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</w:p>
    <w:p w14:paraId="638C5661" w14:textId="77777777" w:rsidR="00170CB5" w:rsidRPr="007A6418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  <w:r w:rsidRPr="007A6418">
        <w:rPr>
          <w:sz w:val="24"/>
          <w:szCs w:val="24"/>
        </w:rPr>
        <w:t>Měřičské práce</w:t>
      </w:r>
    </w:p>
    <w:p w14:paraId="19DAC113" w14:textId="3342C078" w:rsidR="00170CB5" w:rsidRPr="007A6418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  <w:r w:rsidRPr="007A6418">
        <w:rPr>
          <w:sz w:val="24"/>
          <w:szCs w:val="24"/>
        </w:rPr>
        <w:t>Odkryvné práce</w:t>
      </w:r>
      <w:r w:rsidR="00564963">
        <w:rPr>
          <w:sz w:val="24"/>
          <w:szCs w:val="24"/>
        </w:rPr>
        <w:t xml:space="preserve"> a ověření důlních děl</w:t>
      </w:r>
      <w:r w:rsidR="00174DCB">
        <w:rPr>
          <w:sz w:val="24"/>
          <w:szCs w:val="24"/>
        </w:rPr>
        <w:t>, geofyzikální měření</w:t>
      </w:r>
    </w:p>
    <w:p w14:paraId="782DB6B6" w14:textId="5D3A935D" w:rsidR="00170CB5" w:rsidRPr="007A6418" w:rsidRDefault="00564963" w:rsidP="00170CB5">
      <w:pPr>
        <w:pStyle w:val="Odstavecseseznamem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7A6418" w:rsidRPr="007A6418">
        <w:rPr>
          <w:sz w:val="24"/>
          <w:szCs w:val="24"/>
        </w:rPr>
        <w:t>onitoring</w:t>
      </w:r>
    </w:p>
    <w:p w14:paraId="0CC768E5" w14:textId="77777777" w:rsidR="00170CB5" w:rsidRPr="007B7E84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  <w:r w:rsidRPr="007A6418">
        <w:rPr>
          <w:sz w:val="24"/>
          <w:szCs w:val="24"/>
        </w:rPr>
        <w:t>Vzorkování a laboratorní práce</w:t>
      </w:r>
    </w:p>
    <w:p w14:paraId="590FC792" w14:textId="77777777" w:rsidR="00170CB5" w:rsidRPr="007B7E84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</w:p>
    <w:p w14:paraId="4D681696" w14:textId="4B40C2F6" w:rsidR="00170CB5" w:rsidRPr="007B7E84" w:rsidRDefault="00170CB5" w:rsidP="00570E06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7B7E84">
        <w:rPr>
          <w:sz w:val="24"/>
          <w:szCs w:val="24"/>
        </w:rPr>
        <w:t>Vyhodnocovací práce</w:t>
      </w:r>
    </w:p>
    <w:p w14:paraId="2D375D92" w14:textId="77777777" w:rsidR="00170CB5" w:rsidRPr="007B7E84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</w:p>
    <w:p w14:paraId="400D8527" w14:textId="77777777" w:rsidR="00170CB5" w:rsidRPr="007B7E84" w:rsidRDefault="00170CB5" w:rsidP="00170CB5">
      <w:pPr>
        <w:pStyle w:val="Odstavecseseznamem"/>
        <w:ind w:left="1080"/>
        <w:jc w:val="both"/>
        <w:rPr>
          <w:sz w:val="24"/>
          <w:szCs w:val="24"/>
        </w:rPr>
      </w:pPr>
      <w:r w:rsidRPr="007B7E84">
        <w:rPr>
          <w:sz w:val="24"/>
          <w:szCs w:val="24"/>
        </w:rPr>
        <w:t xml:space="preserve">Interpretace výsledků </w:t>
      </w:r>
      <w:r w:rsidR="0067222F">
        <w:rPr>
          <w:sz w:val="24"/>
          <w:szCs w:val="24"/>
        </w:rPr>
        <w:t>průzkumu</w:t>
      </w:r>
      <w:r w:rsidRPr="007B7E84">
        <w:rPr>
          <w:sz w:val="24"/>
          <w:szCs w:val="24"/>
        </w:rPr>
        <w:t>, vyhodnocení průzkumných prací, návrh řešení</w:t>
      </w:r>
    </w:p>
    <w:p w14:paraId="61B9FE36" w14:textId="77777777" w:rsidR="0024114E" w:rsidRPr="007B7E84" w:rsidRDefault="00923A3E" w:rsidP="00170CB5">
      <w:pPr>
        <w:pStyle w:val="Odstavecseseznamem"/>
        <w:ind w:left="1080"/>
        <w:jc w:val="both"/>
        <w:rPr>
          <w:sz w:val="24"/>
          <w:szCs w:val="24"/>
        </w:rPr>
      </w:pPr>
      <w:r w:rsidRPr="007B7E84">
        <w:rPr>
          <w:sz w:val="24"/>
          <w:szCs w:val="24"/>
        </w:rPr>
        <w:t>V</w:t>
      </w:r>
      <w:r w:rsidR="0024114E" w:rsidRPr="007B7E84">
        <w:rPr>
          <w:sz w:val="24"/>
          <w:szCs w:val="24"/>
        </w:rPr>
        <w:t>ypracování závěrečné zprávy</w:t>
      </w:r>
    </w:p>
    <w:p w14:paraId="375A3DAD" w14:textId="77777777" w:rsidR="00923A3E" w:rsidRPr="00C13B7C" w:rsidRDefault="00923A3E" w:rsidP="00170CB5">
      <w:pPr>
        <w:pStyle w:val="Odstavecseseznamem"/>
        <w:ind w:left="1080"/>
        <w:jc w:val="both"/>
        <w:rPr>
          <w:sz w:val="24"/>
          <w:szCs w:val="24"/>
          <w:highlight w:val="yellow"/>
        </w:rPr>
      </w:pPr>
    </w:p>
    <w:p w14:paraId="1BFCEA72" w14:textId="1256D62A" w:rsidR="00860E99" w:rsidRPr="003A54BC" w:rsidRDefault="00174DCB" w:rsidP="00CD1374">
      <w:pPr>
        <w:pStyle w:val="Nadpis2"/>
        <w:rPr>
          <w:sz w:val="24"/>
          <w:szCs w:val="24"/>
        </w:rPr>
      </w:pPr>
      <w:bookmarkStart w:id="17" w:name="_Toc500231590"/>
      <w:bookmarkStart w:id="18" w:name="_Toc37165914"/>
      <w:r>
        <w:t>4</w:t>
      </w:r>
      <w:r w:rsidR="004C7086" w:rsidRPr="003A54BC">
        <w:t xml:space="preserve">.1 </w:t>
      </w:r>
      <w:r w:rsidR="00773EE8" w:rsidRPr="003A54BC">
        <w:t>Přípravné a projekční práce</w:t>
      </w:r>
      <w:bookmarkEnd w:id="17"/>
      <w:bookmarkEnd w:id="18"/>
    </w:p>
    <w:p w14:paraId="50BACDA9" w14:textId="5BB7E056" w:rsidR="00860E99" w:rsidRPr="003A54BC" w:rsidRDefault="00032BEF" w:rsidP="00722AA0">
      <w:pPr>
        <w:spacing w:line="276" w:lineRule="auto"/>
        <w:jc w:val="both"/>
        <w:rPr>
          <w:b/>
          <w:sz w:val="24"/>
          <w:szCs w:val="24"/>
        </w:rPr>
      </w:pPr>
      <w:r w:rsidRPr="003A54BC">
        <w:rPr>
          <w:sz w:val="24"/>
          <w:szCs w:val="24"/>
        </w:rPr>
        <w:t>V rámci přípravných a projekčních prací bude provedeno studium všech dostupných geologických podkladových materiálů (archivních zpráv, map</w:t>
      </w:r>
      <w:r w:rsidR="00165F3C">
        <w:rPr>
          <w:sz w:val="24"/>
          <w:szCs w:val="24"/>
        </w:rPr>
        <w:t>,</w:t>
      </w:r>
      <w:r w:rsidRPr="003A54BC">
        <w:rPr>
          <w:sz w:val="24"/>
          <w:szCs w:val="24"/>
        </w:rPr>
        <w:t xml:space="preserve"> apod.). Dále bude provedena podrobná rekognoskace lokality zaměřená na poz</w:t>
      </w:r>
      <w:r w:rsidR="00DB0FD1" w:rsidRPr="003A54BC">
        <w:rPr>
          <w:sz w:val="24"/>
          <w:szCs w:val="24"/>
        </w:rPr>
        <w:t>nání lokality, morfologie terénu, geologické mapování za využití přirozených, či umělých výchozů, zjištění přístupových cest pro vrtnou techniku, posouzení nutnosti mýcení náletových porostů z důvodu lepší dostupnosti míst s </w:t>
      </w:r>
      <w:r w:rsidR="00DB0FD1" w:rsidRPr="007A6418">
        <w:rPr>
          <w:sz w:val="24"/>
          <w:szCs w:val="24"/>
        </w:rPr>
        <w:t>projektovanými vrty a vyhledání případných starších HG objektů pro uskutečnění monitoringu úrovně hladiny po</w:t>
      </w:r>
      <w:r w:rsidR="00F32D9C" w:rsidRPr="007A6418">
        <w:rPr>
          <w:sz w:val="24"/>
          <w:szCs w:val="24"/>
        </w:rPr>
        <w:t>dz</w:t>
      </w:r>
      <w:r w:rsidR="00DB0FD1" w:rsidRPr="007A6418">
        <w:rPr>
          <w:sz w:val="24"/>
          <w:szCs w:val="24"/>
        </w:rPr>
        <w:t>emní vody na lokalitě. Nedílnou součástí přípravných prací je naplnění nezbytných ohlašovacích a evidenčních povinností</w:t>
      </w:r>
      <w:r w:rsidR="00DB0FD1" w:rsidRPr="003A54BC">
        <w:rPr>
          <w:sz w:val="24"/>
          <w:szCs w:val="24"/>
        </w:rPr>
        <w:t xml:space="preserve"> plynoucích z tohoto zákona pro uchazeče (oznámení na obec, zaslání realizačního projektu průzkumných prací na příslušný Krajský úřad a registrace u České geologické služby).</w:t>
      </w:r>
    </w:p>
    <w:p w14:paraId="2970B9B7" w14:textId="77777777" w:rsidR="00860E99" w:rsidRPr="003A54BC" w:rsidRDefault="00860E99" w:rsidP="00722AA0">
      <w:pPr>
        <w:spacing w:line="276" w:lineRule="auto"/>
        <w:jc w:val="both"/>
        <w:rPr>
          <w:sz w:val="24"/>
          <w:szCs w:val="24"/>
        </w:rPr>
      </w:pPr>
    </w:p>
    <w:p w14:paraId="64917BD8" w14:textId="22DE991B" w:rsidR="00773EE8" w:rsidRPr="003A54BC" w:rsidRDefault="00DB0FD1" w:rsidP="00722AA0">
      <w:pPr>
        <w:spacing w:line="276" w:lineRule="auto"/>
        <w:jc w:val="both"/>
        <w:rPr>
          <w:sz w:val="24"/>
          <w:szCs w:val="24"/>
        </w:rPr>
      </w:pPr>
      <w:r w:rsidRPr="003A54BC">
        <w:rPr>
          <w:sz w:val="24"/>
          <w:szCs w:val="24"/>
        </w:rPr>
        <w:t>Přípravné práce zahrnují také zjištění majetkoprávních vztahů a zajištění povolení vstupu na pozemky, na kterých jsou terénní práce projektovány. Před započetím terénních odkryvných prací je nutné získat od</w:t>
      </w:r>
      <w:r w:rsidR="000B7AE3" w:rsidRPr="003A54BC">
        <w:rPr>
          <w:sz w:val="24"/>
          <w:szCs w:val="24"/>
        </w:rPr>
        <w:t xml:space="preserve"> všech </w:t>
      </w:r>
      <w:r w:rsidRPr="003A54BC">
        <w:rPr>
          <w:sz w:val="24"/>
          <w:szCs w:val="24"/>
        </w:rPr>
        <w:t>správců inženýrských sítí informace o jejich průběhu v zájmovém území, aby při vrtných, či sondážních pracích nedošlo ke kolizi s inženýrskými sítěmi. V případě, že se budou některé projektované vrty, či sondy nacházet v blízkosti inženýrských sítí, či v jejich ochranném pásmu, bude nutné tyto vrty a sondy p</w:t>
      </w:r>
      <w:r w:rsidR="0024114E" w:rsidRPr="003A54BC">
        <w:rPr>
          <w:sz w:val="24"/>
          <w:szCs w:val="24"/>
        </w:rPr>
        <w:t>řesunout</w:t>
      </w:r>
      <w:r w:rsidRPr="003A54BC">
        <w:rPr>
          <w:sz w:val="24"/>
          <w:szCs w:val="24"/>
        </w:rPr>
        <w:t xml:space="preserve"> mimo ochranná pásma, popřípadě provést bezpečnostní </w:t>
      </w:r>
      <w:proofErr w:type="spellStart"/>
      <w:r w:rsidRPr="003A54BC">
        <w:rPr>
          <w:sz w:val="24"/>
          <w:szCs w:val="24"/>
        </w:rPr>
        <w:t>předkop</w:t>
      </w:r>
      <w:r w:rsidR="00751B67" w:rsidRPr="003A54BC">
        <w:rPr>
          <w:sz w:val="24"/>
          <w:szCs w:val="24"/>
        </w:rPr>
        <w:t>y</w:t>
      </w:r>
      <w:proofErr w:type="spellEnd"/>
      <w:r w:rsidR="00751B67" w:rsidRPr="003A54BC">
        <w:rPr>
          <w:sz w:val="24"/>
          <w:szCs w:val="24"/>
        </w:rPr>
        <w:t>.</w:t>
      </w:r>
    </w:p>
    <w:p w14:paraId="3C48E98E" w14:textId="77777777" w:rsidR="00D41DD2" w:rsidRPr="00C13B7C" w:rsidRDefault="00D41DD2" w:rsidP="00E945B7">
      <w:pPr>
        <w:jc w:val="both"/>
        <w:rPr>
          <w:sz w:val="24"/>
          <w:szCs w:val="24"/>
          <w:highlight w:val="yellow"/>
        </w:rPr>
      </w:pPr>
    </w:p>
    <w:p w14:paraId="5434CF7E" w14:textId="6DA1D8F8" w:rsidR="00F32D9C" w:rsidRPr="003166D4" w:rsidRDefault="00174DCB" w:rsidP="00423C87">
      <w:pPr>
        <w:pStyle w:val="Nadpis2"/>
        <w:rPr>
          <w:sz w:val="24"/>
          <w:szCs w:val="24"/>
        </w:rPr>
      </w:pPr>
      <w:bookmarkStart w:id="19" w:name="_Toc500231591"/>
      <w:bookmarkStart w:id="20" w:name="_Toc37165915"/>
      <w:r>
        <w:t>4</w:t>
      </w:r>
      <w:r w:rsidR="004C7086" w:rsidRPr="003166D4">
        <w:t xml:space="preserve">.2 </w:t>
      </w:r>
      <w:r w:rsidR="0093241F" w:rsidRPr="003166D4">
        <w:t>Terénní průzkumné prác</w:t>
      </w:r>
      <w:r w:rsidR="006D6C29" w:rsidRPr="003166D4">
        <w:t>e</w:t>
      </w:r>
      <w:bookmarkEnd w:id="19"/>
      <w:bookmarkEnd w:id="20"/>
      <w:r w:rsidR="00DB0FD1" w:rsidRPr="003166D4">
        <w:t xml:space="preserve"> </w:t>
      </w:r>
    </w:p>
    <w:p w14:paraId="0908E5A0" w14:textId="50A46EA9" w:rsidR="00DB0FD1" w:rsidRPr="003166D4" w:rsidRDefault="00DB0FD1" w:rsidP="00722AA0">
      <w:pPr>
        <w:spacing w:line="276" w:lineRule="auto"/>
        <w:jc w:val="both"/>
        <w:rPr>
          <w:sz w:val="24"/>
          <w:szCs w:val="24"/>
        </w:rPr>
      </w:pPr>
      <w:r w:rsidRPr="003166D4">
        <w:rPr>
          <w:sz w:val="24"/>
          <w:szCs w:val="24"/>
        </w:rPr>
        <w:t xml:space="preserve">Předmětem průzkumných prací, projektovaných v rámci </w:t>
      </w:r>
      <w:r w:rsidR="00F90D11">
        <w:rPr>
          <w:sz w:val="24"/>
          <w:szCs w:val="24"/>
        </w:rPr>
        <w:t>monitoringu</w:t>
      </w:r>
      <w:r w:rsidRPr="003166D4">
        <w:rPr>
          <w:sz w:val="24"/>
          <w:szCs w:val="24"/>
        </w:rPr>
        <w:t>, je realizace celého souboru činností. Jednotlivé činnosti včetně projektovaného rozsahu prací podrobně uvádíme v následujících kapitolách.</w:t>
      </w:r>
    </w:p>
    <w:p w14:paraId="355DDE3A" w14:textId="77777777" w:rsidR="00DB0FD1" w:rsidRPr="00C13B7C" w:rsidRDefault="00DB0FD1" w:rsidP="00DB0FD1">
      <w:pPr>
        <w:ind w:left="360" w:firstLine="348"/>
        <w:jc w:val="both"/>
        <w:rPr>
          <w:b/>
          <w:sz w:val="24"/>
          <w:szCs w:val="24"/>
          <w:highlight w:val="yellow"/>
        </w:rPr>
      </w:pPr>
    </w:p>
    <w:p w14:paraId="6D232C43" w14:textId="23ED73D4" w:rsidR="00751B67" w:rsidRPr="00C34752" w:rsidRDefault="00174DCB" w:rsidP="004B5077">
      <w:pPr>
        <w:pStyle w:val="Nadpis3"/>
        <w:rPr>
          <w:b w:val="0"/>
          <w:szCs w:val="24"/>
        </w:rPr>
      </w:pPr>
      <w:bookmarkStart w:id="21" w:name="_Toc500231592"/>
      <w:bookmarkStart w:id="22" w:name="_Toc37165916"/>
      <w:r>
        <w:t>4</w:t>
      </w:r>
      <w:r w:rsidR="004C7086" w:rsidRPr="00C34752">
        <w:t xml:space="preserve">.2.1 </w:t>
      </w:r>
      <w:r w:rsidR="006D6C29" w:rsidRPr="00C34752">
        <w:t>Měřičské práce</w:t>
      </w:r>
      <w:bookmarkEnd w:id="21"/>
      <w:bookmarkEnd w:id="22"/>
    </w:p>
    <w:p w14:paraId="7965F455" w14:textId="387B6354" w:rsidR="00751B67" w:rsidRPr="00C34752" w:rsidRDefault="006D6C29" w:rsidP="00722AA0">
      <w:pPr>
        <w:spacing w:line="276" w:lineRule="auto"/>
        <w:jc w:val="both"/>
        <w:rPr>
          <w:sz w:val="24"/>
          <w:szCs w:val="24"/>
        </w:rPr>
      </w:pPr>
      <w:r w:rsidRPr="00C34752">
        <w:rPr>
          <w:sz w:val="24"/>
          <w:szCs w:val="24"/>
        </w:rPr>
        <w:t xml:space="preserve">Před zahájením vrtných a </w:t>
      </w:r>
      <w:r w:rsidR="0024114E" w:rsidRPr="00A42498">
        <w:rPr>
          <w:sz w:val="24"/>
          <w:szCs w:val="24"/>
        </w:rPr>
        <w:t xml:space="preserve">jiných </w:t>
      </w:r>
      <w:r w:rsidRPr="00A42498">
        <w:rPr>
          <w:sz w:val="24"/>
          <w:szCs w:val="24"/>
        </w:rPr>
        <w:t>sondážních prací budou projektované vrty</w:t>
      </w:r>
      <w:r w:rsidR="00C34752" w:rsidRPr="00A42498">
        <w:rPr>
          <w:sz w:val="24"/>
          <w:szCs w:val="24"/>
        </w:rPr>
        <w:t xml:space="preserve"> </w:t>
      </w:r>
      <w:r w:rsidRPr="00A42498">
        <w:rPr>
          <w:sz w:val="24"/>
          <w:szCs w:val="24"/>
        </w:rPr>
        <w:t>geodeticky vyt</w:t>
      </w:r>
      <w:r w:rsidR="0099351D" w:rsidRPr="00A42498">
        <w:rPr>
          <w:sz w:val="24"/>
          <w:szCs w:val="24"/>
        </w:rPr>
        <w:t>y</w:t>
      </w:r>
      <w:r w:rsidRPr="00A42498">
        <w:rPr>
          <w:sz w:val="24"/>
          <w:szCs w:val="24"/>
        </w:rPr>
        <w:t>čeny.</w:t>
      </w:r>
      <w:r w:rsidR="006E73BC" w:rsidRPr="00A42498">
        <w:rPr>
          <w:sz w:val="24"/>
          <w:szCs w:val="24"/>
        </w:rPr>
        <w:t xml:space="preserve"> Seznam souřadnic jednotlivých </w:t>
      </w:r>
      <w:r w:rsidR="005F4C9F" w:rsidRPr="00A42498">
        <w:rPr>
          <w:sz w:val="24"/>
          <w:szCs w:val="24"/>
        </w:rPr>
        <w:t xml:space="preserve">projektovaných </w:t>
      </w:r>
      <w:r w:rsidR="006E73BC" w:rsidRPr="00A42498">
        <w:rPr>
          <w:sz w:val="24"/>
          <w:szCs w:val="24"/>
        </w:rPr>
        <w:t>vrtů a sond je</w:t>
      </w:r>
      <w:r w:rsidR="00174DCB">
        <w:rPr>
          <w:sz w:val="24"/>
          <w:szCs w:val="24"/>
        </w:rPr>
        <w:t xml:space="preserve"> uveden</w:t>
      </w:r>
      <w:r w:rsidR="006E73BC" w:rsidRPr="00A42498">
        <w:rPr>
          <w:sz w:val="24"/>
          <w:szCs w:val="24"/>
        </w:rPr>
        <w:t xml:space="preserve"> v </w:t>
      </w:r>
      <w:r w:rsidR="006E73BC" w:rsidRPr="00A42498">
        <w:rPr>
          <w:b/>
          <w:sz w:val="24"/>
          <w:szCs w:val="24"/>
        </w:rPr>
        <w:t xml:space="preserve">příloze </w:t>
      </w:r>
      <w:r w:rsidR="00A42498" w:rsidRPr="00A42498">
        <w:rPr>
          <w:b/>
          <w:sz w:val="24"/>
          <w:szCs w:val="24"/>
        </w:rPr>
        <w:t>3</w:t>
      </w:r>
      <w:r w:rsidR="006E73BC" w:rsidRPr="00A42498">
        <w:rPr>
          <w:sz w:val="24"/>
          <w:szCs w:val="24"/>
        </w:rPr>
        <w:t>.</w:t>
      </w:r>
    </w:p>
    <w:p w14:paraId="575B5398" w14:textId="77777777" w:rsidR="00F32D9C" w:rsidRPr="00C34752" w:rsidRDefault="00F32D9C" w:rsidP="00722AA0">
      <w:pPr>
        <w:spacing w:line="276" w:lineRule="auto"/>
        <w:jc w:val="both"/>
        <w:rPr>
          <w:b/>
          <w:sz w:val="24"/>
          <w:szCs w:val="24"/>
        </w:rPr>
      </w:pPr>
    </w:p>
    <w:p w14:paraId="65A2CBA7" w14:textId="709E572B" w:rsidR="006D6C29" w:rsidRPr="00C34752" w:rsidRDefault="006D6C29" w:rsidP="00722AA0">
      <w:pPr>
        <w:spacing w:line="276" w:lineRule="auto"/>
        <w:jc w:val="both"/>
        <w:rPr>
          <w:sz w:val="24"/>
          <w:szCs w:val="24"/>
        </w:rPr>
      </w:pPr>
      <w:r w:rsidRPr="00C34752">
        <w:rPr>
          <w:sz w:val="24"/>
          <w:szCs w:val="24"/>
        </w:rPr>
        <w:lastRenderedPageBreak/>
        <w:t xml:space="preserve">V případě špatné </w:t>
      </w:r>
      <w:r w:rsidRPr="007A6418">
        <w:rPr>
          <w:sz w:val="24"/>
          <w:szCs w:val="24"/>
        </w:rPr>
        <w:t>dostupnosti míst s projektovanými vrty pro vrtnou a sondážní techniku, nebo z důvodu kolizních průběhů inženýrských sítí, může vyvstat nutnost některé vrty, či sondy mírně p</w:t>
      </w:r>
      <w:r w:rsidR="0024114E" w:rsidRPr="007A6418">
        <w:rPr>
          <w:sz w:val="24"/>
          <w:szCs w:val="24"/>
        </w:rPr>
        <w:t>řesunout</w:t>
      </w:r>
      <w:r w:rsidRPr="007A6418">
        <w:rPr>
          <w:sz w:val="24"/>
          <w:szCs w:val="24"/>
        </w:rPr>
        <w:t>. Po ukončení terénních prací proto budou místa nově realizovaných vrtů a sond polohopisně a výškopisně z</w:t>
      </w:r>
      <w:r w:rsidR="00174DCB">
        <w:rPr>
          <w:sz w:val="24"/>
          <w:szCs w:val="24"/>
        </w:rPr>
        <w:t>a</w:t>
      </w:r>
      <w:r w:rsidRPr="007A6418">
        <w:rPr>
          <w:sz w:val="24"/>
          <w:szCs w:val="24"/>
        </w:rPr>
        <w:t>měřena.</w:t>
      </w:r>
      <w:r w:rsidR="00C10879" w:rsidRPr="007A6418">
        <w:rPr>
          <w:sz w:val="24"/>
          <w:szCs w:val="24"/>
        </w:rPr>
        <w:t xml:space="preserve"> </w:t>
      </w:r>
    </w:p>
    <w:p w14:paraId="316BB2EA" w14:textId="77777777" w:rsidR="00294187" w:rsidRPr="00C13B7C" w:rsidRDefault="00294187" w:rsidP="00294187">
      <w:pPr>
        <w:jc w:val="both"/>
        <w:rPr>
          <w:sz w:val="24"/>
          <w:szCs w:val="24"/>
          <w:highlight w:val="yellow"/>
        </w:rPr>
      </w:pPr>
    </w:p>
    <w:p w14:paraId="0BBB8E68" w14:textId="6719B7AA" w:rsidR="00751B67" w:rsidRPr="003166D4" w:rsidRDefault="00174DCB" w:rsidP="003C68DD">
      <w:pPr>
        <w:pStyle w:val="Nadpis3"/>
        <w:spacing w:after="80"/>
        <w:rPr>
          <w:b w:val="0"/>
          <w:szCs w:val="24"/>
        </w:rPr>
      </w:pPr>
      <w:bookmarkStart w:id="23" w:name="_Toc500231593"/>
      <w:bookmarkStart w:id="24" w:name="_Toc37165917"/>
      <w:r>
        <w:t>4</w:t>
      </w:r>
      <w:r w:rsidR="004C7086" w:rsidRPr="003166D4">
        <w:t xml:space="preserve">.2.2 </w:t>
      </w:r>
      <w:bookmarkEnd w:id="23"/>
      <w:r w:rsidR="00564963">
        <w:t xml:space="preserve">Monitorovací </w:t>
      </w:r>
      <w:r w:rsidR="008E01D6" w:rsidRPr="003166D4">
        <w:t>vrty (H</w:t>
      </w:r>
      <w:r w:rsidR="00D558D3">
        <w:t>G</w:t>
      </w:r>
      <w:r w:rsidR="008E01D6" w:rsidRPr="003166D4">
        <w:t>)</w:t>
      </w:r>
      <w:bookmarkEnd w:id="24"/>
    </w:p>
    <w:p w14:paraId="48400DA8" w14:textId="07FBD609" w:rsidR="00466713" w:rsidRPr="00466713" w:rsidRDefault="00466713" w:rsidP="00564963">
      <w:pPr>
        <w:spacing w:line="276" w:lineRule="auto"/>
        <w:jc w:val="both"/>
        <w:rPr>
          <w:sz w:val="24"/>
          <w:szCs w:val="24"/>
        </w:rPr>
      </w:pPr>
      <w:r w:rsidRPr="00466713">
        <w:rPr>
          <w:sz w:val="24"/>
          <w:szCs w:val="24"/>
        </w:rPr>
        <w:t xml:space="preserve">V rámci </w:t>
      </w:r>
      <w:r w:rsidR="00F90D11">
        <w:rPr>
          <w:sz w:val="24"/>
          <w:szCs w:val="24"/>
        </w:rPr>
        <w:t>monitoringu</w:t>
      </w:r>
      <w:r w:rsidRPr="00466713">
        <w:rPr>
          <w:sz w:val="24"/>
          <w:szCs w:val="24"/>
        </w:rPr>
        <w:t xml:space="preserve"> je navržena realizace </w:t>
      </w:r>
      <w:r>
        <w:rPr>
          <w:sz w:val="24"/>
          <w:szCs w:val="24"/>
        </w:rPr>
        <w:t>7</w:t>
      </w:r>
      <w:r w:rsidRPr="00466713">
        <w:rPr>
          <w:sz w:val="24"/>
          <w:szCs w:val="24"/>
        </w:rPr>
        <w:t xml:space="preserve"> průzkumných vrtů (H</w:t>
      </w:r>
      <w:r w:rsidR="00D558D3">
        <w:rPr>
          <w:sz w:val="24"/>
          <w:szCs w:val="24"/>
        </w:rPr>
        <w:t>G</w:t>
      </w:r>
      <w:r w:rsidRPr="00466713">
        <w:rPr>
          <w:sz w:val="24"/>
          <w:szCs w:val="24"/>
        </w:rPr>
        <w:t>).</w:t>
      </w:r>
      <w:r w:rsidR="00564963">
        <w:rPr>
          <w:sz w:val="24"/>
          <w:szCs w:val="24"/>
        </w:rPr>
        <w:t xml:space="preserve"> </w:t>
      </w:r>
      <w:r w:rsidRPr="00466713">
        <w:rPr>
          <w:sz w:val="24"/>
          <w:szCs w:val="24"/>
        </w:rPr>
        <w:t>Jednotlivé vrty jsou situovány jednak s ohledem na stavebně-technické řešení stavby, kdy při projektování založení jednotlivých stavebních objektů je nutné definovat prostředí, do kterého budou zakládány a jednak s ohledem na posouzení možnosti ovlivnění hydrogeologických poměrů zájmového území (a potažmo i jímacích objektů) výstavbou a provozem projektované stavby.</w:t>
      </w:r>
    </w:p>
    <w:p w14:paraId="5C58BA66" w14:textId="1788EAF8" w:rsidR="00466713" w:rsidRDefault="00466713" w:rsidP="00564963">
      <w:pPr>
        <w:spacing w:line="276" w:lineRule="auto"/>
        <w:jc w:val="both"/>
        <w:rPr>
          <w:sz w:val="24"/>
          <w:szCs w:val="24"/>
        </w:rPr>
      </w:pPr>
      <w:r w:rsidRPr="00466713">
        <w:rPr>
          <w:sz w:val="24"/>
          <w:szCs w:val="24"/>
        </w:rPr>
        <w:t xml:space="preserve">Vrty budou hloubeny primárně na </w:t>
      </w:r>
      <w:r w:rsidRPr="00334E5C">
        <w:rPr>
          <w:sz w:val="24"/>
          <w:szCs w:val="24"/>
        </w:rPr>
        <w:t>průměr min. 1</w:t>
      </w:r>
      <w:r w:rsidR="00174DCB">
        <w:rPr>
          <w:sz w:val="24"/>
          <w:szCs w:val="24"/>
        </w:rPr>
        <w:t>25</w:t>
      </w:r>
      <w:r w:rsidRPr="00334E5C">
        <w:rPr>
          <w:sz w:val="24"/>
          <w:szCs w:val="24"/>
        </w:rPr>
        <w:t xml:space="preserve"> mm</w:t>
      </w:r>
      <w:r w:rsidR="00585FD6">
        <w:rPr>
          <w:sz w:val="24"/>
          <w:szCs w:val="24"/>
        </w:rPr>
        <w:t>. V případě zastižení skalního podloží je uvažováno s vrtáním DIA jádrovkou s</w:t>
      </w:r>
      <w:r w:rsidR="00174DCB">
        <w:rPr>
          <w:sz w:val="24"/>
          <w:szCs w:val="24"/>
        </w:rPr>
        <w:t> </w:t>
      </w:r>
      <w:r w:rsidR="00585FD6">
        <w:rPr>
          <w:sz w:val="24"/>
          <w:szCs w:val="24"/>
        </w:rPr>
        <w:t>výplachem</w:t>
      </w:r>
      <w:r w:rsidR="00174DCB">
        <w:rPr>
          <w:sz w:val="24"/>
          <w:szCs w:val="24"/>
        </w:rPr>
        <w:t xml:space="preserve"> s přibírkou na min. 125 mm</w:t>
      </w:r>
      <w:r w:rsidRPr="00466713">
        <w:rPr>
          <w:sz w:val="24"/>
          <w:szCs w:val="24"/>
        </w:rPr>
        <w:t xml:space="preserve"> a poté budou vystrojeny PVC zárubnicí o průměru min. </w:t>
      </w:r>
      <w:r>
        <w:rPr>
          <w:sz w:val="24"/>
          <w:szCs w:val="24"/>
        </w:rPr>
        <w:t>76</w:t>
      </w:r>
      <w:r w:rsidRPr="00466713">
        <w:rPr>
          <w:sz w:val="24"/>
          <w:szCs w:val="24"/>
        </w:rPr>
        <w:t xml:space="preserve"> mm. Vrty budou vystrojeny pro sledování výskytu a kolísání hladiny podzemní vody. O umístění plné a perforované části výstroje rozhodne odpovědný řešitel na základě zastiženého geologického profilu. Mezikruží vrtu bude obsypáno praným říčním štěrkem („kačírkem“) frakce 4 – 8 mm. Svrchní část vrtu bude zatěsněna bentonitem. Nadzemní část vrtu bude opatřena uzavíratelnou ochrannou ocelovou pažnicí, stabilizovanou betonáží. Na frekventovaných místech může být použito pojezdové </w:t>
      </w:r>
      <w:proofErr w:type="spellStart"/>
      <w:r w:rsidRPr="00466713">
        <w:rPr>
          <w:sz w:val="24"/>
          <w:szCs w:val="24"/>
        </w:rPr>
        <w:t>zhlaví</w:t>
      </w:r>
      <w:proofErr w:type="spellEnd"/>
      <w:r w:rsidRPr="00466713">
        <w:rPr>
          <w:sz w:val="24"/>
          <w:szCs w:val="24"/>
        </w:rPr>
        <w:t>. Vrty budou číselně označeny (popsány) a opatřeny signální tyčí.</w:t>
      </w:r>
    </w:p>
    <w:p w14:paraId="3BB535C7" w14:textId="77777777" w:rsidR="0094534A" w:rsidRDefault="0094534A" w:rsidP="008278AC">
      <w:pPr>
        <w:rPr>
          <w:sz w:val="22"/>
          <w:szCs w:val="22"/>
        </w:rPr>
      </w:pPr>
      <w:bookmarkStart w:id="25" w:name="_Ref18926546"/>
    </w:p>
    <w:p w14:paraId="52F3C920" w14:textId="327284AA" w:rsidR="00466713" w:rsidRPr="003C68DD" w:rsidRDefault="00466713" w:rsidP="008278AC">
      <w:pPr>
        <w:rPr>
          <w:sz w:val="22"/>
          <w:szCs w:val="22"/>
        </w:rPr>
      </w:pPr>
      <w:r w:rsidRPr="003C68DD">
        <w:rPr>
          <w:sz w:val="22"/>
          <w:szCs w:val="22"/>
        </w:rPr>
        <w:t xml:space="preserve">Tabulka </w:t>
      </w:r>
      <w:r w:rsidR="008278AC" w:rsidRPr="003C68DD">
        <w:rPr>
          <w:sz w:val="22"/>
          <w:szCs w:val="22"/>
        </w:rPr>
        <w:t>2</w:t>
      </w:r>
      <w:r w:rsidRPr="003C68DD">
        <w:rPr>
          <w:sz w:val="22"/>
          <w:szCs w:val="22"/>
        </w:rPr>
        <w:t xml:space="preserve"> – Soupis </w:t>
      </w:r>
      <w:r w:rsidR="00564963">
        <w:rPr>
          <w:sz w:val="22"/>
          <w:szCs w:val="22"/>
        </w:rPr>
        <w:t>m</w:t>
      </w:r>
      <w:r w:rsidR="00174DCB">
        <w:rPr>
          <w:sz w:val="22"/>
          <w:szCs w:val="22"/>
        </w:rPr>
        <w:t>o</w:t>
      </w:r>
      <w:r w:rsidR="00564963">
        <w:rPr>
          <w:sz w:val="22"/>
          <w:szCs w:val="22"/>
        </w:rPr>
        <w:t>n</w:t>
      </w:r>
      <w:r w:rsidR="00174DCB">
        <w:rPr>
          <w:sz w:val="22"/>
          <w:szCs w:val="22"/>
        </w:rPr>
        <w:t>i</w:t>
      </w:r>
      <w:r w:rsidR="00564963">
        <w:rPr>
          <w:sz w:val="22"/>
          <w:szCs w:val="22"/>
        </w:rPr>
        <w:t>torovacíc</w:t>
      </w:r>
      <w:r w:rsidR="00174DCB">
        <w:rPr>
          <w:sz w:val="22"/>
          <w:szCs w:val="22"/>
        </w:rPr>
        <w:t>h</w:t>
      </w:r>
      <w:r w:rsidRPr="003C68DD">
        <w:rPr>
          <w:sz w:val="22"/>
          <w:szCs w:val="22"/>
        </w:rPr>
        <w:t xml:space="preserve"> vrtů</w:t>
      </w:r>
      <w:bookmarkEnd w:id="25"/>
    </w:p>
    <w:p w14:paraId="05853F8D" w14:textId="77777777" w:rsidR="008278AC" w:rsidRPr="008278AC" w:rsidRDefault="008278AC" w:rsidP="008278AC">
      <w:pPr>
        <w:rPr>
          <w:highlight w:val="yellow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559"/>
        <w:gridCol w:w="1795"/>
        <w:gridCol w:w="1510"/>
        <w:gridCol w:w="1511"/>
      </w:tblGrid>
      <w:tr w:rsidR="00174DCB" w:rsidRPr="00466713" w14:paraId="12C1BC98" w14:textId="77777777" w:rsidTr="00174DCB">
        <w:trPr>
          <w:tblHeader/>
          <w:jc w:val="center"/>
        </w:trPr>
        <w:tc>
          <w:tcPr>
            <w:tcW w:w="2559" w:type="dxa"/>
            <w:shd w:val="clear" w:color="auto" w:fill="FFFF99"/>
            <w:vAlign w:val="center"/>
          </w:tcPr>
          <w:p w14:paraId="6D77A3F1" w14:textId="7A7A8977" w:rsidR="00174DCB" w:rsidRPr="0034692B" w:rsidRDefault="00174DCB" w:rsidP="008278AC">
            <w:pPr>
              <w:spacing w:line="360" w:lineRule="auto"/>
              <w:jc w:val="center"/>
              <w:rPr>
                <w:b/>
                <w:szCs w:val="18"/>
              </w:rPr>
            </w:pPr>
            <w:r w:rsidRPr="0034692B">
              <w:rPr>
                <w:b/>
                <w:szCs w:val="18"/>
              </w:rPr>
              <w:t>Název</w:t>
            </w:r>
            <w:r>
              <w:rPr>
                <w:b/>
                <w:szCs w:val="18"/>
              </w:rPr>
              <w:t xml:space="preserve"> monitorovacího</w:t>
            </w:r>
            <w:r w:rsidRPr="0034692B">
              <w:rPr>
                <w:b/>
                <w:szCs w:val="18"/>
              </w:rPr>
              <w:t xml:space="preserve"> vrtu</w:t>
            </w:r>
          </w:p>
        </w:tc>
        <w:tc>
          <w:tcPr>
            <w:tcW w:w="1795" w:type="dxa"/>
            <w:shd w:val="clear" w:color="auto" w:fill="FFFF99"/>
            <w:vAlign w:val="center"/>
          </w:tcPr>
          <w:p w14:paraId="297E42E5" w14:textId="77777777" w:rsidR="00174DCB" w:rsidRPr="0034692B" w:rsidRDefault="00174DCB" w:rsidP="008278AC">
            <w:pPr>
              <w:spacing w:line="360" w:lineRule="auto"/>
              <w:jc w:val="center"/>
              <w:rPr>
                <w:b/>
                <w:szCs w:val="18"/>
              </w:rPr>
            </w:pPr>
            <w:r w:rsidRPr="0034692B">
              <w:rPr>
                <w:b/>
                <w:szCs w:val="18"/>
              </w:rPr>
              <w:t>Hloubka vrtu (m)</w:t>
            </w:r>
          </w:p>
        </w:tc>
        <w:tc>
          <w:tcPr>
            <w:tcW w:w="1510" w:type="dxa"/>
            <w:shd w:val="clear" w:color="auto" w:fill="FFFF99"/>
            <w:vAlign w:val="center"/>
          </w:tcPr>
          <w:p w14:paraId="6BD92627" w14:textId="77777777" w:rsidR="00174DCB" w:rsidRPr="0034692B" w:rsidRDefault="00174DCB" w:rsidP="008278AC">
            <w:pPr>
              <w:spacing w:line="360" w:lineRule="auto"/>
              <w:jc w:val="center"/>
              <w:rPr>
                <w:b/>
                <w:szCs w:val="18"/>
              </w:rPr>
            </w:pPr>
            <w:r w:rsidRPr="0034692B">
              <w:rPr>
                <w:b/>
                <w:szCs w:val="18"/>
              </w:rPr>
              <w:t>Souřadnice X</w:t>
            </w:r>
          </w:p>
        </w:tc>
        <w:tc>
          <w:tcPr>
            <w:tcW w:w="1511" w:type="dxa"/>
            <w:shd w:val="clear" w:color="auto" w:fill="FFFF99"/>
            <w:vAlign w:val="center"/>
          </w:tcPr>
          <w:p w14:paraId="049993A4" w14:textId="77777777" w:rsidR="00174DCB" w:rsidRPr="0034692B" w:rsidRDefault="00174DCB" w:rsidP="008278AC">
            <w:pPr>
              <w:spacing w:line="360" w:lineRule="auto"/>
              <w:jc w:val="center"/>
              <w:rPr>
                <w:b/>
                <w:szCs w:val="18"/>
              </w:rPr>
            </w:pPr>
            <w:r w:rsidRPr="0034692B">
              <w:rPr>
                <w:b/>
                <w:szCs w:val="18"/>
              </w:rPr>
              <w:t>Souřadnice Y</w:t>
            </w:r>
          </w:p>
        </w:tc>
      </w:tr>
      <w:tr w:rsidR="00174DCB" w:rsidRPr="00B8796D" w14:paraId="39280594" w14:textId="77777777" w:rsidTr="00174DCB">
        <w:trPr>
          <w:tblHeader/>
          <w:jc w:val="center"/>
        </w:trPr>
        <w:tc>
          <w:tcPr>
            <w:tcW w:w="2559" w:type="dxa"/>
          </w:tcPr>
          <w:p w14:paraId="2D6CC7AC" w14:textId="77777777" w:rsidR="00174DCB" w:rsidRPr="00B8796D" w:rsidRDefault="00174DCB" w:rsidP="0034692B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B8796D">
              <w:rPr>
                <w:rFonts w:eastAsiaTheme="minorHAnsi"/>
                <w:sz w:val="20"/>
                <w:lang w:eastAsia="en-US"/>
              </w:rPr>
              <w:t>HG101</w:t>
            </w:r>
          </w:p>
        </w:tc>
        <w:tc>
          <w:tcPr>
            <w:tcW w:w="1795" w:type="dxa"/>
            <w:vAlign w:val="center"/>
          </w:tcPr>
          <w:p w14:paraId="214F5936" w14:textId="77777777" w:rsidR="00174DCB" w:rsidRPr="00B8796D" w:rsidRDefault="00174DCB" w:rsidP="0034692B">
            <w:pPr>
              <w:spacing w:line="276" w:lineRule="auto"/>
              <w:jc w:val="center"/>
            </w:pPr>
            <w:r w:rsidRPr="00B8796D">
              <w:t>15,0</w:t>
            </w:r>
          </w:p>
        </w:tc>
        <w:tc>
          <w:tcPr>
            <w:tcW w:w="1510" w:type="dxa"/>
            <w:vAlign w:val="center"/>
          </w:tcPr>
          <w:p w14:paraId="7C1E3FB6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1035430.5120</w:t>
            </w:r>
          </w:p>
        </w:tc>
        <w:tc>
          <w:tcPr>
            <w:tcW w:w="1511" w:type="dxa"/>
            <w:vAlign w:val="center"/>
          </w:tcPr>
          <w:p w14:paraId="2F7F13D1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 xml:space="preserve">790625.3325  </w:t>
            </w:r>
          </w:p>
        </w:tc>
      </w:tr>
      <w:tr w:rsidR="00174DCB" w:rsidRPr="00B8796D" w14:paraId="218C025B" w14:textId="77777777" w:rsidTr="00174DCB">
        <w:trPr>
          <w:tblHeader/>
          <w:jc w:val="center"/>
        </w:trPr>
        <w:tc>
          <w:tcPr>
            <w:tcW w:w="2559" w:type="dxa"/>
          </w:tcPr>
          <w:p w14:paraId="4F6AD1A3" w14:textId="77777777" w:rsidR="00174DCB" w:rsidRPr="00B8796D" w:rsidRDefault="00174DCB" w:rsidP="0034692B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B8796D">
              <w:rPr>
                <w:rFonts w:eastAsiaTheme="minorHAnsi"/>
                <w:sz w:val="20"/>
                <w:lang w:eastAsia="en-US"/>
              </w:rPr>
              <w:t>HG102</w:t>
            </w:r>
          </w:p>
        </w:tc>
        <w:tc>
          <w:tcPr>
            <w:tcW w:w="1795" w:type="dxa"/>
            <w:vAlign w:val="center"/>
          </w:tcPr>
          <w:p w14:paraId="25B395BE" w14:textId="77777777" w:rsidR="00174DCB" w:rsidRPr="00B8796D" w:rsidRDefault="00174DCB" w:rsidP="0034692B">
            <w:pPr>
              <w:spacing w:line="276" w:lineRule="auto"/>
              <w:jc w:val="center"/>
            </w:pPr>
            <w:r w:rsidRPr="00B8796D">
              <w:t>30,0</w:t>
            </w:r>
          </w:p>
        </w:tc>
        <w:tc>
          <w:tcPr>
            <w:tcW w:w="1510" w:type="dxa"/>
            <w:vAlign w:val="center"/>
          </w:tcPr>
          <w:p w14:paraId="75846BC4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1035429.4669</w:t>
            </w:r>
          </w:p>
        </w:tc>
        <w:tc>
          <w:tcPr>
            <w:tcW w:w="1511" w:type="dxa"/>
            <w:vAlign w:val="center"/>
          </w:tcPr>
          <w:p w14:paraId="742744EC" w14:textId="77777777" w:rsidR="00174DCB" w:rsidRPr="00B8796D" w:rsidRDefault="00174DCB" w:rsidP="00B8796D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 xml:space="preserve">790534.5033 </w:t>
            </w:r>
          </w:p>
        </w:tc>
      </w:tr>
      <w:tr w:rsidR="00174DCB" w:rsidRPr="00B8796D" w14:paraId="1A4DEB77" w14:textId="77777777" w:rsidTr="00174DCB">
        <w:trPr>
          <w:tblHeader/>
          <w:jc w:val="center"/>
        </w:trPr>
        <w:tc>
          <w:tcPr>
            <w:tcW w:w="2559" w:type="dxa"/>
          </w:tcPr>
          <w:p w14:paraId="134310D6" w14:textId="77777777" w:rsidR="00174DCB" w:rsidRPr="00B8796D" w:rsidRDefault="00174DCB" w:rsidP="0034692B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B8796D">
              <w:rPr>
                <w:rFonts w:eastAsiaTheme="minorHAnsi"/>
                <w:sz w:val="20"/>
                <w:lang w:eastAsia="en-US"/>
              </w:rPr>
              <w:t>HG103</w:t>
            </w:r>
          </w:p>
        </w:tc>
        <w:tc>
          <w:tcPr>
            <w:tcW w:w="1795" w:type="dxa"/>
            <w:vAlign w:val="center"/>
          </w:tcPr>
          <w:p w14:paraId="35025501" w14:textId="77777777" w:rsidR="00174DCB" w:rsidRPr="00B8796D" w:rsidRDefault="00174DCB" w:rsidP="0034692B">
            <w:pPr>
              <w:spacing w:line="276" w:lineRule="auto"/>
              <w:jc w:val="center"/>
            </w:pPr>
            <w:r w:rsidRPr="00B8796D">
              <w:t>19,0</w:t>
            </w:r>
          </w:p>
        </w:tc>
        <w:tc>
          <w:tcPr>
            <w:tcW w:w="1510" w:type="dxa"/>
            <w:vAlign w:val="center"/>
          </w:tcPr>
          <w:p w14:paraId="3583D717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1035400.2986</w:t>
            </w:r>
          </w:p>
        </w:tc>
        <w:tc>
          <w:tcPr>
            <w:tcW w:w="1511" w:type="dxa"/>
            <w:vAlign w:val="center"/>
          </w:tcPr>
          <w:p w14:paraId="1DDF4B06" w14:textId="77777777" w:rsidR="00174DCB" w:rsidRPr="00B8796D" w:rsidRDefault="00174DCB" w:rsidP="00B8796D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790462.8743</w:t>
            </w:r>
          </w:p>
        </w:tc>
      </w:tr>
      <w:tr w:rsidR="00174DCB" w:rsidRPr="00B8796D" w14:paraId="1D888FB8" w14:textId="77777777" w:rsidTr="00174DCB">
        <w:trPr>
          <w:tblHeader/>
          <w:jc w:val="center"/>
        </w:trPr>
        <w:tc>
          <w:tcPr>
            <w:tcW w:w="2559" w:type="dxa"/>
          </w:tcPr>
          <w:p w14:paraId="3A4EF63E" w14:textId="77777777" w:rsidR="00174DCB" w:rsidRPr="00B8796D" w:rsidRDefault="00174DCB" w:rsidP="0034692B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B8796D">
              <w:rPr>
                <w:rFonts w:eastAsiaTheme="minorHAnsi"/>
                <w:sz w:val="20"/>
                <w:lang w:eastAsia="en-US"/>
              </w:rPr>
              <w:t>HG104</w:t>
            </w:r>
          </w:p>
        </w:tc>
        <w:tc>
          <w:tcPr>
            <w:tcW w:w="1795" w:type="dxa"/>
            <w:vAlign w:val="center"/>
          </w:tcPr>
          <w:p w14:paraId="594059C6" w14:textId="77777777" w:rsidR="00174DCB" w:rsidRPr="00B8796D" w:rsidRDefault="00174DCB" w:rsidP="0034692B">
            <w:pPr>
              <w:spacing w:line="276" w:lineRule="auto"/>
              <w:jc w:val="center"/>
            </w:pPr>
            <w:r w:rsidRPr="00B8796D">
              <w:t>16,0</w:t>
            </w:r>
          </w:p>
        </w:tc>
        <w:tc>
          <w:tcPr>
            <w:tcW w:w="1510" w:type="dxa"/>
            <w:vAlign w:val="center"/>
          </w:tcPr>
          <w:p w14:paraId="14C0F17A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1035381.0746</w:t>
            </w:r>
          </w:p>
        </w:tc>
        <w:tc>
          <w:tcPr>
            <w:tcW w:w="1511" w:type="dxa"/>
            <w:vAlign w:val="center"/>
          </w:tcPr>
          <w:p w14:paraId="48FC990E" w14:textId="77777777" w:rsidR="00174DCB" w:rsidRPr="00B8796D" w:rsidRDefault="00174DCB" w:rsidP="00B8796D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790435.0333</w:t>
            </w:r>
          </w:p>
        </w:tc>
      </w:tr>
      <w:tr w:rsidR="00174DCB" w:rsidRPr="00B8796D" w14:paraId="7727EE73" w14:textId="77777777" w:rsidTr="00174DCB">
        <w:trPr>
          <w:tblHeader/>
          <w:jc w:val="center"/>
        </w:trPr>
        <w:tc>
          <w:tcPr>
            <w:tcW w:w="2559" w:type="dxa"/>
          </w:tcPr>
          <w:p w14:paraId="1AFE5352" w14:textId="77777777" w:rsidR="00174DCB" w:rsidRPr="00B8796D" w:rsidRDefault="00174DCB" w:rsidP="0034692B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B8796D">
              <w:rPr>
                <w:rFonts w:eastAsiaTheme="minorHAnsi"/>
                <w:sz w:val="20"/>
                <w:lang w:eastAsia="en-US"/>
              </w:rPr>
              <w:t>HG105</w:t>
            </w:r>
          </w:p>
        </w:tc>
        <w:tc>
          <w:tcPr>
            <w:tcW w:w="1795" w:type="dxa"/>
            <w:vAlign w:val="center"/>
          </w:tcPr>
          <w:p w14:paraId="0F60A052" w14:textId="77777777" w:rsidR="00174DCB" w:rsidRPr="00B8796D" w:rsidRDefault="00174DCB" w:rsidP="0034692B">
            <w:pPr>
              <w:spacing w:line="276" w:lineRule="auto"/>
              <w:jc w:val="center"/>
            </w:pPr>
            <w:r w:rsidRPr="00B8796D">
              <w:t>16,0</w:t>
            </w:r>
          </w:p>
        </w:tc>
        <w:tc>
          <w:tcPr>
            <w:tcW w:w="1510" w:type="dxa"/>
            <w:vAlign w:val="center"/>
          </w:tcPr>
          <w:p w14:paraId="08F32091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1035335.5230</w:t>
            </w:r>
          </w:p>
        </w:tc>
        <w:tc>
          <w:tcPr>
            <w:tcW w:w="1511" w:type="dxa"/>
            <w:vAlign w:val="center"/>
          </w:tcPr>
          <w:p w14:paraId="723505AF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790351.3706</w:t>
            </w:r>
          </w:p>
        </w:tc>
      </w:tr>
      <w:tr w:rsidR="00174DCB" w:rsidRPr="00B8796D" w14:paraId="17442593" w14:textId="77777777" w:rsidTr="00174DCB">
        <w:trPr>
          <w:tblHeader/>
          <w:jc w:val="center"/>
        </w:trPr>
        <w:tc>
          <w:tcPr>
            <w:tcW w:w="2559" w:type="dxa"/>
          </w:tcPr>
          <w:p w14:paraId="51F3B6ED" w14:textId="77777777" w:rsidR="00174DCB" w:rsidRPr="00B8796D" w:rsidRDefault="00174DCB" w:rsidP="0034692B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B8796D">
              <w:rPr>
                <w:rFonts w:eastAsiaTheme="minorHAnsi"/>
                <w:sz w:val="20"/>
                <w:lang w:eastAsia="en-US"/>
              </w:rPr>
              <w:t>HG106</w:t>
            </w:r>
          </w:p>
        </w:tc>
        <w:tc>
          <w:tcPr>
            <w:tcW w:w="1795" w:type="dxa"/>
            <w:vAlign w:val="center"/>
          </w:tcPr>
          <w:p w14:paraId="3800C69A" w14:textId="77777777" w:rsidR="00174DCB" w:rsidRPr="00B8796D" w:rsidRDefault="00174DCB" w:rsidP="0034692B">
            <w:pPr>
              <w:spacing w:line="276" w:lineRule="auto"/>
              <w:jc w:val="center"/>
            </w:pPr>
            <w:r w:rsidRPr="00B8796D">
              <w:t>16,0</w:t>
            </w:r>
          </w:p>
        </w:tc>
        <w:tc>
          <w:tcPr>
            <w:tcW w:w="1510" w:type="dxa"/>
            <w:vAlign w:val="center"/>
          </w:tcPr>
          <w:p w14:paraId="10CFE4C7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1035305.3695</w:t>
            </w:r>
          </w:p>
        </w:tc>
        <w:tc>
          <w:tcPr>
            <w:tcW w:w="1511" w:type="dxa"/>
            <w:vAlign w:val="center"/>
          </w:tcPr>
          <w:p w14:paraId="1288702D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790315.8818</w:t>
            </w:r>
          </w:p>
        </w:tc>
      </w:tr>
      <w:tr w:rsidR="00174DCB" w:rsidRPr="00B8796D" w14:paraId="0DA52D73" w14:textId="77777777" w:rsidTr="00174DCB">
        <w:trPr>
          <w:tblHeader/>
          <w:jc w:val="center"/>
        </w:trPr>
        <w:tc>
          <w:tcPr>
            <w:tcW w:w="2559" w:type="dxa"/>
          </w:tcPr>
          <w:p w14:paraId="2C6226DC" w14:textId="77777777" w:rsidR="00174DCB" w:rsidRPr="00B8796D" w:rsidRDefault="00174DCB" w:rsidP="0034692B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B8796D">
              <w:rPr>
                <w:rFonts w:eastAsiaTheme="minorHAnsi"/>
                <w:sz w:val="20"/>
                <w:lang w:eastAsia="en-US"/>
              </w:rPr>
              <w:t>HG107</w:t>
            </w:r>
          </w:p>
        </w:tc>
        <w:tc>
          <w:tcPr>
            <w:tcW w:w="1795" w:type="dxa"/>
            <w:vAlign w:val="center"/>
          </w:tcPr>
          <w:p w14:paraId="6EBF66DB" w14:textId="1DADC718" w:rsidR="00174DCB" w:rsidRPr="00B8796D" w:rsidRDefault="00174DCB" w:rsidP="0034692B">
            <w:pPr>
              <w:spacing w:line="276" w:lineRule="auto"/>
              <w:jc w:val="center"/>
            </w:pPr>
            <w:r>
              <w:t>22</w:t>
            </w:r>
            <w:r w:rsidRPr="00B8796D">
              <w:t>,0</w:t>
            </w:r>
          </w:p>
        </w:tc>
        <w:tc>
          <w:tcPr>
            <w:tcW w:w="1510" w:type="dxa"/>
            <w:vAlign w:val="center"/>
          </w:tcPr>
          <w:p w14:paraId="3FD9E169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1034821.1564</w:t>
            </w:r>
          </w:p>
        </w:tc>
        <w:tc>
          <w:tcPr>
            <w:tcW w:w="1511" w:type="dxa"/>
            <w:vAlign w:val="center"/>
          </w:tcPr>
          <w:p w14:paraId="24A94ABE" w14:textId="77777777" w:rsidR="00174DCB" w:rsidRPr="00B8796D" w:rsidRDefault="00174DCB" w:rsidP="0034692B">
            <w:pPr>
              <w:jc w:val="center"/>
              <w:rPr>
                <w:color w:val="000000"/>
              </w:rPr>
            </w:pPr>
            <w:r w:rsidRPr="00B8796D">
              <w:rPr>
                <w:color w:val="000000"/>
              </w:rPr>
              <w:t>790192.1142</w:t>
            </w:r>
          </w:p>
        </w:tc>
      </w:tr>
    </w:tbl>
    <w:p w14:paraId="14CD40C3" w14:textId="77777777" w:rsidR="00466713" w:rsidRPr="00B8796D" w:rsidRDefault="00466713" w:rsidP="00466713">
      <w:pPr>
        <w:spacing w:line="360" w:lineRule="auto"/>
        <w:jc w:val="both"/>
      </w:pPr>
    </w:p>
    <w:p w14:paraId="213A4438" w14:textId="061F41CF" w:rsidR="00466713" w:rsidRDefault="00466713" w:rsidP="00466713">
      <w:pPr>
        <w:spacing w:line="360" w:lineRule="auto"/>
        <w:jc w:val="both"/>
        <w:rPr>
          <w:i/>
          <w:iCs/>
        </w:rPr>
      </w:pPr>
      <w:r w:rsidRPr="002A4D2A">
        <w:rPr>
          <w:i/>
          <w:iCs/>
        </w:rPr>
        <w:t xml:space="preserve">Celkový rozsah </w:t>
      </w:r>
      <w:r w:rsidR="00174DCB">
        <w:rPr>
          <w:i/>
          <w:iCs/>
        </w:rPr>
        <w:t xml:space="preserve">monitorovacích vrtů </w:t>
      </w:r>
      <w:r w:rsidRPr="002A4D2A">
        <w:rPr>
          <w:i/>
          <w:iCs/>
        </w:rPr>
        <w:t xml:space="preserve">bude </w:t>
      </w:r>
      <w:r w:rsidR="002A4D2A" w:rsidRPr="002A4D2A">
        <w:rPr>
          <w:i/>
          <w:iCs/>
        </w:rPr>
        <w:t>1</w:t>
      </w:r>
      <w:r w:rsidR="00BC4FEC">
        <w:rPr>
          <w:i/>
          <w:iCs/>
        </w:rPr>
        <w:t>34</w:t>
      </w:r>
      <w:r w:rsidRPr="002A4D2A">
        <w:rPr>
          <w:i/>
          <w:iCs/>
        </w:rPr>
        <w:t xml:space="preserve"> m, do hloubky max. </w:t>
      </w:r>
      <w:r w:rsidR="002A4D2A" w:rsidRPr="002A4D2A">
        <w:rPr>
          <w:i/>
          <w:iCs/>
        </w:rPr>
        <w:t>3</w:t>
      </w:r>
      <w:r w:rsidRPr="002A4D2A">
        <w:rPr>
          <w:i/>
          <w:iCs/>
        </w:rPr>
        <w:t>0 m.</w:t>
      </w:r>
    </w:p>
    <w:p w14:paraId="5357E7D8" w14:textId="77777777" w:rsidR="00466713" w:rsidRDefault="00466713" w:rsidP="00466713">
      <w:pPr>
        <w:jc w:val="both"/>
        <w:rPr>
          <w:sz w:val="24"/>
          <w:szCs w:val="24"/>
        </w:rPr>
      </w:pPr>
    </w:p>
    <w:p w14:paraId="6E661897" w14:textId="77777777" w:rsidR="004703DF" w:rsidRPr="00942C92" w:rsidRDefault="00466713" w:rsidP="00722AA0">
      <w:pPr>
        <w:tabs>
          <w:tab w:val="left" w:pos="2595"/>
        </w:tabs>
        <w:spacing w:line="276" w:lineRule="auto"/>
        <w:jc w:val="both"/>
        <w:rPr>
          <w:i/>
          <w:sz w:val="24"/>
          <w:szCs w:val="24"/>
        </w:rPr>
      </w:pPr>
      <w:r w:rsidRPr="002A4D2A">
        <w:rPr>
          <w:sz w:val="24"/>
          <w:szCs w:val="24"/>
        </w:rPr>
        <w:t>V rámci terénních měření bude provedeno zaměření úrovně naražené a ustálené hladiny podzemní vody ve všech nově realizovaných vrtech. Záměr hladiny podzemní vody bude prováděn elektroakustickým hladinoměrem s přesností ± 1.0 cm.</w:t>
      </w:r>
    </w:p>
    <w:p w14:paraId="5DCA51DD" w14:textId="77777777" w:rsidR="006233BD" w:rsidRPr="00A83268" w:rsidRDefault="006233BD" w:rsidP="00751B67">
      <w:pPr>
        <w:jc w:val="both"/>
        <w:rPr>
          <w:sz w:val="24"/>
          <w:szCs w:val="24"/>
        </w:rPr>
      </w:pPr>
    </w:p>
    <w:p w14:paraId="35B3729D" w14:textId="231A7952" w:rsidR="00B9262D" w:rsidRPr="00A83268" w:rsidRDefault="00174DCB" w:rsidP="00DD3A3E">
      <w:pPr>
        <w:pStyle w:val="Nadpis2"/>
        <w:rPr>
          <w:szCs w:val="24"/>
        </w:rPr>
      </w:pPr>
      <w:bookmarkStart w:id="26" w:name="_Toc500231597"/>
      <w:bookmarkStart w:id="27" w:name="_Toc37165918"/>
      <w:r>
        <w:t>4</w:t>
      </w:r>
      <w:r w:rsidR="004C7086" w:rsidRPr="00A83268">
        <w:t>.</w:t>
      </w:r>
      <w:r w:rsidR="003F5578" w:rsidRPr="00A83268">
        <w:t>3</w:t>
      </w:r>
      <w:r w:rsidR="004C7086" w:rsidRPr="00A83268">
        <w:t xml:space="preserve"> </w:t>
      </w:r>
      <w:r w:rsidR="00B9262D" w:rsidRPr="00A83268">
        <w:t>Vzorkovací a laboratorní práce</w:t>
      </w:r>
      <w:bookmarkEnd w:id="26"/>
      <w:bookmarkEnd w:id="27"/>
    </w:p>
    <w:p w14:paraId="3E146975" w14:textId="4B3442EF" w:rsidR="00B9262D" w:rsidRPr="003A54BC" w:rsidRDefault="00B9262D" w:rsidP="00722AA0">
      <w:pPr>
        <w:spacing w:line="276" w:lineRule="auto"/>
        <w:jc w:val="both"/>
        <w:rPr>
          <w:sz w:val="24"/>
          <w:szCs w:val="24"/>
        </w:rPr>
      </w:pPr>
      <w:bookmarkStart w:id="28" w:name="_Hlk32401310"/>
      <w:r w:rsidRPr="003A54BC">
        <w:rPr>
          <w:sz w:val="24"/>
          <w:szCs w:val="24"/>
        </w:rPr>
        <w:t xml:space="preserve">Na základě zhodnocení současné geologické </w:t>
      </w:r>
      <w:proofErr w:type="spellStart"/>
      <w:r w:rsidRPr="003A54BC">
        <w:rPr>
          <w:sz w:val="24"/>
          <w:szCs w:val="24"/>
        </w:rPr>
        <w:t>prozkoumanosti</w:t>
      </w:r>
      <w:proofErr w:type="spellEnd"/>
      <w:r w:rsidRPr="003A54BC">
        <w:rPr>
          <w:sz w:val="24"/>
          <w:szCs w:val="24"/>
        </w:rPr>
        <w:t xml:space="preserve"> lokality </w:t>
      </w:r>
      <w:r w:rsidR="000C0AA9">
        <w:rPr>
          <w:sz w:val="24"/>
          <w:szCs w:val="24"/>
        </w:rPr>
        <w:t>byl</w:t>
      </w:r>
      <w:r w:rsidRPr="003A54BC">
        <w:rPr>
          <w:sz w:val="24"/>
          <w:szCs w:val="24"/>
        </w:rPr>
        <w:t xml:space="preserve"> stanov</w:t>
      </w:r>
      <w:r w:rsidR="000C0AA9">
        <w:rPr>
          <w:sz w:val="24"/>
          <w:szCs w:val="24"/>
        </w:rPr>
        <w:t>en</w:t>
      </w:r>
      <w:r w:rsidRPr="003A54BC">
        <w:rPr>
          <w:sz w:val="24"/>
          <w:szCs w:val="24"/>
        </w:rPr>
        <w:t xml:space="preserve"> doporučený rozsah vzorkování a laboratorních rozborů zemin</w:t>
      </w:r>
      <w:r w:rsidR="003A54BC" w:rsidRPr="003A54BC">
        <w:rPr>
          <w:sz w:val="24"/>
          <w:szCs w:val="24"/>
        </w:rPr>
        <w:t xml:space="preserve"> a hornin</w:t>
      </w:r>
      <w:r w:rsidR="003A1CF1" w:rsidRPr="003A54BC">
        <w:rPr>
          <w:sz w:val="24"/>
          <w:szCs w:val="24"/>
        </w:rPr>
        <w:t xml:space="preserve">. </w:t>
      </w:r>
      <w:r w:rsidRPr="003A54BC">
        <w:rPr>
          <w:sz w:val="24"/>
          <w:szCs w:val="24"/>
        </w:rPr>
        <w:t>Vzorky zemin budou odebírány ze všech litologických vrstev</w:t>
      </w:r>
      <w:r w:rsidR="000C0AA9">
        <w:rPr>
          <w:sz w:val="24"/>
          <w:szCs w:val="24"/>
        </w:rPr>
        <w:t>.</w:t>
      </w:r>
      <w:r w:rsidRPr="003A54BC">
        <w:rPr>
          <w:sz w:val="24"/>
          <w:szCs w:val="24"/>
        </w:rPr>
        <w:t xml:space="preserve"> </w:t>
      </w:r>
    </w:p>
    <w:p w14:paraId="301E774F" w14:textId="77777777" w:rsidR="00B9262D" w:rsidRPr="000820A3" w:rsidRDefault="00923A3E" w:rsidP="00722AA0">
      <w:pPr>
        <w:spacing w:before="240" w:line="276" w:lineRule="auto"/>
        <w:jc w:val="both"/>
        <w:rPr>
          <w:sz w:val="24"/>
          <w:szCs w:val="24"/>
        </w:rPr>
      </w:pPr>
      <w:r w:rsidRPr="00942C92">
        <w:rPr>
          <w:b/>
          <w:bCs/>
          <w:sz w:val="24"/>
          <w:szCs w:val="24"/>
        </w:rPr>
        <w:lastRenderedPageBreak/>
        <w:t>V</w:t>
      </w:r>
      <w:r w:rsidR="00B9262D" w:rsidRPr="00942C92">
        <w:rPr>
          <w:b/>
          <w:bCs/>
          <w:sz w:val="24"/>
          <w:szCs w:val="24"/>
        </w:rPr>
        <w:t>zorky zemin</w:t>
      </w:r>
      <w:r w:rsidR="00FD2C59" w:rsidRPr="00942C92">
        <w:rPr>
          <w:b/>
          <w:bCs/>
          <w:sz w:val="24"/>
          <w:szCs w:val="24"/>
        </w:rPr>
        <w:t xml:space="preserve"> a hornin</w:t>
      </w:r>
      <w:r w:rsidR="00B9262D" w:rsidRPr="00942C92">
        <w:rPr>
          <w:sz w:val="24"/>
          <w:szCs w:val="24"/>
        </w:rPr>
        <w:t xml:space="preserve"> pro stanovení fyzikálně-mechanických charakteristik základové půdy na lokalitě budou následujícího druhu:</w:t>
      </w:r>
    </w:p>
    <w:p w14:paraId="1BD3E852" w14:textId="77777777" w:rsidR="00B9262D" w:rsidRPr="000820A3" w:rsidRDefault="00B9262D" w:rsidP="00722AA0">
      <w:pPr>
        <w:spacing w:after="120" w:line="276" w:lineRule="auto"/>
        <w:ind w:left="360"/>
        <w:rPr>
          <w:sz w:val="24"/>
          <w:szCs w:val="24"/>
        </w:rPr>
      </w:pPr>
    </w:p>
    <w:p w14:paraId="2B84445E" w14:textId="77777777" w:rsidR="00B9262D" w:rsidRPr="000820A3" w:rsidRDefault="00B9262D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r w:rsidRPr="000820A3">
        <w:rPr>
          <w:i/>
          <w:sz w:val="24"/>
          <w:szCs w:val="24"/>
        </w:rPr>
        <w:t xml:space="preserve">porušený / </w:t>
      </w:r>
      <w:proofErr w:type="spellStart"/>
      <w:r w:rsidRPr="000820A3">
        <w:rPr>
          <w:i/>
          <w:sz w:val="24"/>
          <w:szCs w:val="24"/>
        </w:rPr>
        <w:t>poloporušený</w:t>
      </w:r>
      <w:proofErr w:type="spellEnd"/>
      <w:r w:rsidRPr="000820A3">
        <w:rPr>
          <w:i/>
          <w:sz w:val="24"/>
          <w:szCs w:val="24"/>
        </w:rPr>
        <w:t xml:space="preserve"> (P/PLP)</w:t>
      </w:r>
      <w:r w:rsidRPr="000820A3">
        <w:rPr>
          <w:sz w:val="24"/>
          <w:szCs w:val="24"/>
        </w:rPr>
        <w:t xml:space="preserve"> - u všech </w:t>
      </w:r>
      <w:r w:rsidR="00FD2C59">
        <w:rPr>
          <w:sz w:val="24"/>
          <w:szCs w:val="24"/>
        </w:rPr>
        <w:t xml:space="preserve">14 </w:t>
      </w:r>
      <w:r w:rsidRPr="000820A3">
        <w:rPr>
          <w:sz w:val="24"/>
          <w:szCs w:val="24"/>
        </w:rPr>
        <w:t>vzorků stanovení zrnitosti</w:t>
      </w:r>
      <w:r w:rsidR="001E3839" w:rsidRPr="000820A3">
        <w:rPr>
          <w:sz w:val="24"/>
          <w:szCs w:val="24"/>
        </w:rPr>
        <w:t xml:space="preserve"> včetně zdánlivé hustoty pevných částic</w:t>
      </w:r>
      <w:r w:rsidRPr="000820A3">
        <w:rPr>
          <w:sz w:val="24"/>
          <w:szCs w:val="24"/>
        </w:rPr>
        <w:t xml:space="preserve">, vlhkosti, </w:t>
      </w:r>
      <w:proofErr w:type="spellStart"/>
      <w:r w:rsidRPr="000820A3">
        <w:rPr>
          <w:sz w:val="24"/>
          <w:szCs w:val="24"/>
        </w:rPr>
        <w:t>Atterbergových</w:t>
      </w:r>
      <w:proofErr w:type="spellEnd"/>
      <w:r w:rsidRPr="000820A3">
        <w:rPr>
          <w:sz w:val="24"/>
          <w:szCs w:val="24"/>
        </w:rPr>
        <w:t xml:space="preserve"> mezí, výpočet čísla konzistence, plasticity, výpočet koeficientu filtrace, zatřídění dle ČSN 73 </w:t>
      </w:r>
      <w:smartTag w:uri="urn:schemas-microsoft-com:office:smarttags" w:element="metricconverter">
        <w:smartTagPr>
          <w:attr w:name="ProductID" w:val="6133 a"/>
        </w:smartTagPr>
        <w:r w:rsidRPr="000820A3">
          <w:rPr>
            <w:sz w:val="24"/>
            <w:szCs w:val="24"/>
          </w:rPr>
          <w:t>6133 a</w:t>
        </w:r>
      </w:smartTag>
      <w:r w:rsidRPr="000820A3">
        <w:rPr>
          <w:sz w:val="24"/>
          <w:szCs w:val="24"/>
        </w:rPr>
        <w:t xml:space="preserve"> </w:t>
      </w:r>
      <w:r w:rsidR="000C4617" w:rsidRPr="000820A3">
        <w:rPr>
          <w:sz w:val="24"/>
          <w:szCs w:val="24"/>
        </w:rPr>
        <w:t>ČSN EN ISO 14688</w:t>
      </w:r>
      <w:r w:rsidR="00240FE2" w:rsidRPr="000820A3">
        <w:rPr>
          <w:sz w:val="24"/>
          <w:szCs w:val="24"/>
        </w:rPr>
        <w:t>-</w:t>
      </w:r>
      <w:r w:rsidR="000C4617" w:rsidRPr="000820A3">
        <w:rPr>
          <w:sz w:val="24"/>
          <w:szCs w:val="24"/>
        </w:rPr>
        <w:t>2</w:t>
      </w:r>
      <w:r w:rsidRPr="000820A3">
        <w:rPr>
          <w:sz w:val="24"/>
          <w:szCs w:val="24"/>
        </w:rPr>
        <w:t>.</w:t>
      </w:r>
    </w:p>
    <w:p w14:paraId="0C3F94EE" w14:textId="77777777" w:rsidR="00B9262D" w:rsidRPr="00E17560" w:rsidRDefault="00B9262D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r w:rsidRPr="00E17560">
        <w:rPr>
          <w:i/>
          <w:sz w:val="24"/>
          <w:szCs w:val="24"/>
        </w:rPr>
        <w:t>neporušený (N)</w:t>
      </w:r>
      <w:r w:rsidRPr="00E17560">
        <w:rPr>
          <w:sz w:val="24"/>
          <w:szCs w:val="24"/>
        </w:rPr>
        <w:t xml:space="preserve"> - u všech </w:t>
      </w:r>
      <w:r w:rsidR="00FD2C59" w:rsidRPr="00E17560">
        <w:rPr>
          <w:sz w:val="24"/>
          <w:szCs w:val="24"/>
        </w:rPr>
        <w:t xml:space="preserve">7 </w:t>
      </w:r>
      <w:r w:rsidRPr="00E17560">
        <w:rPr>
          <w:sz w:val="24"/>
          <w:szCs w:val="24"/>
        </w:rPr>
        <w:t>neporušených vzorků stanovení zrnitosti</w:t>
      </w:r>
      <w:r w:rsidR="001E3839" w:rsidRPr="00E17560">
        <w:rPr>
          <w:sz w:val="24"/>
          <w:szCs w:val="24"/>
        </w:rPr>
        <w:t xml:space="preserve"> včetně zdánlivé hustoty pevných částic</w:t>
      </w:r>
      <w:r w:rsidRPr="00E17560">
        <w:rPr>
          <w:sz w:val="24"/>
          <w:szCs w:val="24"/>
        </w:rPr>
        <w:t xml:space="preserve">, vlhkosti, </w:t>
      </w:r>
      <w:proofErr w:type="spellStart"/>
      <w:r w:rsidRPr="00E17560">
        <w:rPr>
          <w:sz w:val="24"/>
          <w:szCs w:val="24"/>
        </w:rPr>
        <w:t>Atterbergových</w:t>
      </w:r>
      <w:proofErr w:type="spellEnd"/>
      <w:r w:rsidRPr="00E17560">
        <w:rPr>
          <w:sz w:val="24"/>
          <w:szCs w:val="24"/>
        </w:rPr>
        <w:t xml:space="preserve"> mezí, výpočet čísla konzistence, plasticity, výpočet koeficientu filtrace, zatřídění dle ČSN 73 </w:t>
      </w:r>
      <w:smartTag w:uri="urn:schemas-microsoft-com:office:smarttags" w:element="metricconverter">
        <w:smartTagPr>
          <w:attr w:name="ProductID" w:val="6133 a"/>
        </w:smartTagPr>
        <w:r w:rsidRPr="00E17560">
          <w:rPr>
            <w:sz w:val="24"/>
            <w:szCs w:val="24"/>
          </w:rPr>
          <w:t>6133 a</w:t>
        </w:r>
      </w:smartTag>
      <w:r w:rsidRPr="00E17560">
        <w:rPr>
          <w:sz w:val="24"/>
          <w:szCs w:val="24"/>
        </w:rPr>
        <w:t xml:space="preserve"> </w:t>
      </w:r>
      <w:r w:rsidR="00240FE2" w:rsidRPr="00E17560">
        <w:rPr>
          <w:sz w:val="24"/>
          <w:szCs w:val="24"/>
        </w:rPr>
        <w:t>ČSN EN ISO 14688-2</w:t>
      </w:r>
      <w:r w:rsidRPr="00E17560">
        <w:rPr>
          <w:sz w:val="24"/>
          <w:szCs w:val="24"/>
        </w:rPr>
        <w:t>, stanovení objemové hmotnosti, pórovitosti, stupně nasycení, u vybraných vzorků odebraných z vrtů stanovení efektivních pevnostních parametrů a</w:t>
      </w:r>
      <w:r w:rsidR="00FD2C59" w:rsidRPr="00E17560">
        <w:rPr>
          <w:sz w:val="24"/>
          <w:szCs w:val="24"/>
        </w:rPr>
        <w:t xml:space="preserve"> provedení triaxiální zkoušky.</w:t>
      </w:r>
    </w:p>
    <w:p w14:paraId="7E412C93" w14:textId="49DE4BE4" w:rsidR="000820A3" w:rsidRPr="00E17560" w:rsidRDefault="000820A3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r w:rsidRPr="00E17560">
        <w:rPr>
          <w:i/>
          <w:sz w:val="24"/>
          <w:szCs w:val="24"/>
        </w:rPr>
        <w:t>horninový (N)</w:t>
      </w:r>
      <w:r w:rsidRPr="00E17560">
        <w:rPr>
          <w:sz w:val="24"/>
          <w:szCs w:val="24"/>
        </w:rPr>
        <w:t xml:space="preserve"> - u</w:t>
      </w:r>
      <w:r w:rsidR="00942C92" w:rsidRPr="00E17560">
        <w:rPr>
          <w:szCs w:val="24"/>
        </w:rPr>
        <w:t xml:space="preserve"> </w:t>
      </w:r>
      <w:r w:rsidR="00942C92" w:rsidRPr="00E17560">
        <w:rPr>
          <w:sz w:val="24"/>
          <w:szCs w:val="24"/>
        </w:rPr>
        <w:t xml:space="preserve">všech </w:t>
      </w:r>
      <w:r w:rsidR="00D44800">
        <w:rPr>
          <w:sz w:val="24"/>
          <w:szCs w:val="24"/>
        </w:rPr>
        <w:t>14</w:t>
      </w:r>
      <w:r w:rsidR="00942C92" w:rsidRPr="00E17560">
        <w:rPr>
          <w:sz w:val="24"/>
          <w:szCs w:val="24"/>
        </w:rPr>
        <w:t xml:space="preserve"> horninových vzorků proběhne stanovení pevnosti v prostém tlaku. Zkoušky budou provedeny podle ČSN CEN ISO/TS 17892-7 ve vysušeném i nasyceném stavu.</w:t>
      </w:r>
    </w:p>
    <w:p w14:paraId="2557F37F" w14:textId="4D1BFFE9" w:rsidR="00B9262D" w:rsidRPr="00606AE7" w:rsidRDefault="00B9262D" w:rsidP="00722AA0">
      <w:pPr>
        <w:spacing w:before="120" w:line="276" w:lineRule="auto"/>
        <w:jc w:val="both"/>
        <w:rPr>
          <w:bCs/>
          <w:iCs/>
          <w:sz w:val="24"/>
          <w:szCs w:val="24"/>
        </w:rPr>
      </w:pPr>
      <w:r w:rsidRPr="00606AE7">
        <w:rPr>
          <w:bCs/>
          <w:iCs/>
          <w:sz w:val="24"/>
          <w:szCs w:val="24"/>
        </w:rPr>
        <w:t xml:space="preserve">Celkem bude odebráno </w:t>
      </w:r>
      <w:r w:rsidR="00C613E6" w:rsidRPr="00606AE7">
        <w:rPr>
          <w:bCs/>
          <w:iCs/>
          <w:sz w:val="24"/>
          <w:szCs w:val="24"/>
        </w:rPr>
        <w:t>1</w:t>
      </w:r>
      <w:r w:rsidR="00FD2C59" w:rsidRPr="00606AE7">
        <w:rPr>
          <w:bCs/>
          <w:iCs/>
          <w:sz w:val="24"/>
          <w:szCs w:val="24"/>
        </w:rPr>
        <w:t>4</w:t>
      </w:r>
      <w:r w:rsidR="00582C13" w:rsidRPr="00606AE7">
        <w:rPr>
          <w:bCs/>
          <w:iCs/>
          <w:sz w:val="24"/>
          <w:szCs w:val="24"/>
        </w:rPr>
        <w:t xml:space="preserve"> </w:t>
      </w:r>
      <w:r w:rsidRPr="00606AE7">
        <w:rPr>
          <w:bCs/>
          <w:iCs/>
          <w:sz w:val="24"/>
          <w:szCs w:val="24"/>
        </w:rPr>
        <w:t xml:space="preserve">porušených / </w:t>
      </w:r>
      <w:proofErr w:type="spellStart"/>
      <w:r w:rsidRPr="00606AE7">
        <w:rPr>
          <w:bCs/>
          <w:iCs/>
          <w:sz w:val="24"/>
          <w:szCs w:val="24"/>
        </w:rPr>
        <w:t>poloporušených</w:t>
      </w:r>
      <w:proofErr w:type="spellEnd"/>
      <w:r w:rsidRPr="00606AE7">
        <w:rPr>
          <w:bCs/>
          <w:iCs/>
          <w:sz w:val="24"/>
          <w:szCs w:val="24"/>
        </w:rPr>
        <w:t xml:space="preserve">, </w:t>
      </w:r>
      <w:r w:rsidR="00FD2C59" w:rsidRPr="00606AE7">
        <w:rPr>
          <w:bCs/>
          <w:iCs/>
          <w:sz w:val="24"/>
          <w:szCs w:val="24"/>
        </w:rPr>
        <w:t>7</w:t>
      </w:r>
      <w:r w:rsidRPr="00606AE7">
        <w:rPr>
          <w:bCs/>
          <w:iCs/>
          <w:sz w:val="24"/>
          <w:szCs w:val="24"/>
        </w:rPr>
        <w:t xml:space="preserve"> neporušených</w:t>
      </w:r>
      <w:r w:rsidR="004D3A1E">
        <w:rPr>
          <w:bCs/>
          <w:iCs/>
          <w:sz w:val="24"/>
          <w:szCs w:val="24"/>
        </w:rPr>
        <w:t xml:space="preserve"> vzorků zemin</w:t>
      </w:r>
      <w:r w:rsidRPr="00606AE7">
        <w:rPr>
          <w:bCs/>
          <w:iCs/>
          <w:sz w:val="24"/>
          <w:szCs w:val="24"/>
        </w:rPr>
        <w:t xml:space="preserve"> a </w:t>
      </w:r>
      <w:r w:rsidR="00D44800">
        <w:rPr>
          <w:bCs/>
          <w:iCs/>
          <w:sz w:val="24"/>
          <w:szCs w:val="24"/>
        </w:rPr>
        <w:t>14</w:t>
      </w:r>
      <w:r w:rsidRPr="00606AE7">
        <w:rPr>
          <w:bCs/>
          <w:iCs/>
          <w:sz w:val="24"/>
          <w:szCs w:val="24"/>
        </w:rPr>
        <w:t xml:space="preserve"> </w:t>
      </w:r>
      <w:r w:rsidR="00FD2C59" w:rsidRPr="00606AE7">
        <w:rPr>
          <w:bCs/>
          <w:iCs/>
          <w:sz w:val="24"/>
          <w:szCs w:val="24"/>
        </w:rPr>
        <w:t>horninových</w:t>
      </w:r>
      <w:r w:rsidRPr="00606AE7">
        <w:rPr>
          <w:bCs/>
          <w:iCs/>
          <w:sz w:val="24"/>
          <w:szCs w:val="24"/>
        </w:rPr>
        <w:t xml:space="preserve"> vzorků pro laboratorní stanovení jejich fyzikálně mechanických vlastností.</w:t>
      </w:r>
    </w:p>
    <w:p w14:paraId="4542E248" w14:textId="5AB3EBB0" w:rsidR="00722AA0" w:rsidRPr="003A54BC" w:rsidRDefault="00B9262D" w:rsidP="00722AA0">
      <w:pPr>
        <w:spacing w:before="120" w:after="100" w:afterAutospacing="1" w:line="276" w:lineRule="auto"/>
        <w:jc w:val="both"/>
        <w:rPr>
          <w:sz w:val="24"/>
          <w:szCs w:val="24"/>
        </w:rPr>
      </w:pPr>
      <w:r w:rsidRPr="003A54BC">
        <w:rPr>
          <w:sz w:val="24"/>
          <w:szCs w:val="24"/>
        </w:rPr>
        <w:t>Po ukončení vrtných prací bude ve všech sondách, kde bude zastižena hladina podzemní vody, provedeno zaměření její úrovně a odběr celkem</w:t>
      </w:r>
      <w:r w:rsidR="004456BD" w:rsidRPr="003A54BC">
        <w:rPr>
          <w:sz w:val="24"/>
          <w:szCs w:val="24"/>
        </w:rPr>
        <w:t xml:space="preserve"> </w:t>
      </w:r>
      <w:r w:rsidR="003A54BC" w:rsidRPr="003A54BC">
        <w:rPr>
          <w:sz w:val="24"/>
          <w:szCs w:val="24"/>
        </w:rPr>
        <w:t>7</w:t>
      </w:r>
      <w:r w:rsidRPr="003A54BC">
        <w:rPr>
          <w:sz w:val="24"/>
          <w:szCs w:val="24"/>
        </w:rPr>
        <w:t xml:space="preserve"> ks vzorků </w:t>
      </w:r>
      <w:r w:rsidRPr="003A54BC">
        <w:rPr>
          <w:bCs/>
          <w:sz w:val="24"/>
          <w:szCs w:val="24"/>
        </w:rPr>
        <w:t>podzemní vody</w:t>
      </w:r>
      <w:r w:rsidRPr="003A54BC">
        <w:rPr>
          <w:sz w:val="24"/>
          <w:szCs w:val="24"/>
        </w:rPr>
        <w:t xml:space="preserve"> pro:</w:t>
      </w:r>
    </w:p>
    <w:p w14:paraId="3D1AE215" w14:textId="0FD01D60" w:rsidR="00B9262D" w:rsidRPr="00A42498" w:rsidRDefault="00B9262D" w:rsidP="00722AA0">
      <w:pPr>
        <w:numPr>
          <w:ilvl w:val="0"/>
          <w:numId w:val="25"/>
        </w:numPr>
        <w:spacing w:after="100" w:afterAutospacing="1" w:line="276" w:lineRule="auto"/>
        <w:jc w:val="both"/>
        <w:rPr>
          <w:sz w:val="24"/>
          <w:szCs w:val="24"/>
        </w:rPr>
      </w:pPr>
      <w:r w:rsidRPr="003A54BC">
        <w:rPr>
          <w:sz w:val="24"/>
          <w:szCs w:val="24"/>
        </w:rPr>
        <w:t xml:space="preserve">zjištění agresivity vůči podzemním betonovým a ocelovým konstrukcím v souladu s ČSN 03 8375 Ochrana kovových potrubí uložených v půdě nebo ve vodě proti korozi </w:t>
      </w:r>
      <w:r w:rsidRPr="003A54BC">
        <w:rPr>
          <w:sz w:val="24"/>
          <w:szCs w:val="24"/>
        </w:rPr>
        <w:br/>
        <w:t>a ČSN EN 206</w:t>
      </w:r>
      <w:r w:rsidR="00564963">
        <w:rPr>
          <w:sz w:val="24"/>
          <w:szCs w:val="24"/>
        </w:rPr>
        <w:t>+A</w:t>
      </w:r>
      <w:r w:rsidRPr="00A42498">
        <w:rPr>
          <w:sz w:val="24"/>
          <w:szCs w:val="24"/>
        </w:rPr>
        <w:t>1-Beton - část 1: Specifikace, vlastnosti, výroba a shoda.</w:t>
      </w:r>
    </w:p>
    <w:p w14:paraId="3E6DBCE8" w14:textId="5503CB38" w:rsidR="00DE4B25" w:rsidRPr="00A42498" w:rsidRDefault="00DE4B25" w:rsidP="00722AA0">
      <w:pPr>
        <w:spacing w:line="276" w:lineRule="auto"/>
        <w:rPr>
          <w:sz w:val="24"/>
          <w:szCs w:val="24"/>
        </w:rPr>
      </w:pPr>
      <w:bookmarkStart w:id="29" w:name="_Toc500231598"/>
      <w:bookmarkEnd w:id="28"/>
      <w:r w:rsidRPr="00A42498">
        <w:rPr>
          <w:sz w:val="24"/>
          <w:szCs w:val="24"/>
        </w:rPr>
        <w:t>Kompletní přehled všech prací je v </w:t>
      </w:r>
      <w:r w:rsidRPr="00A42498">
        <w:rPr>
          <w:b/>
          <w:sz w:val="24"/>
          <w:szCs w:val="24"/>
        </w:rPr>
        <w:t>příloze 2</w:t>
      </w:r>
      <w:r w:rsidRPr="00A42498">
        <w:rPr>
          <w:sz w:val="24"/>
          <w:szCs w:val="24"/>
        </w:rPr>
        <w:t>.</w:t>
      </w:r>
    </w:p>
    <w:p w14:paraId="0D980B0C" w14:textId="77777777" w:rsidR="00722AA0" w:rsidRPr="00C13B7C" w:rsidRDefault="00722AA0" w:rsidP="00722AA0">
      <w:pPr>
        <w:spacing w:line="276" w:lineRule="auto"/>
        <w:rPr>
          <w:sz w:val="24"/>
          <w:szCs w:val="24"/>
          <w:highlight w:val="yellow"/>
        </w:rPr>
      </w:pPr>
    </w:p>
    <w:p w14:paraId="5972F12C" w14:textId="0F5A7864" w:rsidR="002A4D2A" w:rsidRPr="002A4D2A" w:rsidRDefault="00174DCB" w:rsidP="002A4D2A">
      <w:pPr>
        <w:pStyle w:val="Nadpis2"/>
        <w:rPr>
          <w:szCs w:val="24"/>
        </w:rPr>
      </w:pPr>
      <w:bookmarkStart w:id="30" w:name="_Toc37165919"/>
      <w:r>
        <w:t>4</w:t>
      </w:r>
      <w:r w:rsidR="002A4D2A" w:rsidRPr="00A83268">
        <w:t>.</w:t>
      </w:r>
      <w:r w:rsidR="002A4D2A">
        <w:t>4</w:t>
      </w:r>
      <w:r w:rsidR="002A4D2A" w:rsidRPr="00A83268">
        <w:t xml:space="preserve"> </w:t>
      </w:r>
      <w:r w:rsidR="002A4D2A">
        <w:t>Hydrogeologické práce</w:t>
      </w:r>
      <w:r w:rsidR="00564963">
        <w:t xml:space="preserve"> pro ověření archivních podkladů</w:t>
      </w:r>
      <w:bookmarkEnd w:id="30"/>
    </w:p>
    <w:p w14:paraId="299B13A8" w14:textId="30A8EEE6" w:rsidR="002A4D2A" w:rsidRDefault="002A4D2A" w:rsidP="00722AA0">
      <w:pPr>
        <w:spacing w:after="120" w:line="276" w:lineRule="auto"/>
        <w:jc w:val="both"/>
        <w:rPr>
          <w:sz w:val="24"/>
          <w:szCs w:val="24"/>
        </w:rPr>
      </w:pPr>
      <w:r w:rsidRPr="002A4D2A">
        <w:rPr>
          <w:sz w:val="24"/>
          <w:szCs w:val="24"/>
        </w:rPr>
        <w:t xml:space="preserve">Hlavními hydrogeologickými metodami průzkumu bude realizace monitorovacích hydrogeologických vrtů, režimní sledování hladiny podzemní vody </w:t>
      </w:r>
      <w:r w:rsidRPr="003C68DD">
        <w:rPr>
          <w:sz w:val="24"/>
          <w:szCs w:val="24"/>
        </w:rPr>
        <w:t>a vzorkování podzemní vody pro ověření vývoje kvalitativních parametrů v čase.</w:t>
      </w:r>
    </w:p>
    <w:p w14:paraId="05A4AE8B" w14:textId="77777777" w:rsidR="00722AA0" w:rsidRPr="002A4D2A" w:rsidRDefault="00722AA0" w:rsidP="00722AA0">
      <w:pPr>
        <w:spacing w:after="120" w:line="276" w:lineRule="auto"/>
        <w:jc w:val="both"/>
        <w:rPr>
          <w:sz w:val="24"/>
          <w:szCs w:val="24"/>
        </w:rPr>
      </w:pPr>
    </w:p>
    <w:p w14:paraId="3D4DD25F" w14:textId="6FB50870" w:rsidR="002A4D2A" w:rsidRPr="002A4D2A" w:rsidRDefault="00174DCB" w:rsidP="002A4D2A">
      <w:pPr>
        <w:pStyle w:val="Nadpis3"/>
      </w:pPr>
      <w:bookmarkStart w:id="31" w:name="_Toc25579987"/>
      <w:bookmarkStart w:id="32" w:name="_Toc37165920"/>
      <w:r>
        <w:t>4</w:t>
      </w:r>
      <w:r w:rsidR="002A4D2A" w:rsidRPr="002A4D2A">
        <w:t>.</w:t>
      </w:r>
      <w:r w:rsidR="002A4D2A">
        <w:t>4</w:t>
      </w:r>
      <w:r w:rsidR="002A4D2A" w:rsidRPr="002A4D2A">
        <w:t>.</w:t>
      </w:r>
      <w:r w:rsidR="002A4D2A">
        <w:t>1</w:t>
      </w:r>
      <w:r w:rsidR="002A4D2A" w:rsidRPr="002A4D2A">
        <w:t xml:space="preserve"> Kvalitativní a kvantitativní parametry podzemní vody</w:t>
      </w:r>
      <w:bookmarkEnd w:id="31"/>
      <w:bookmarkEnd w:id="32"/>
    </w:p>
    <w:p w14:paraId="6D8C6525" w14:textId="66A88335" w:rsidR="002A4D2A" w:rsidRPr="002A4D2A" w:rsidRDefault="002A4D2A" w:rsidP="00722AA0">
      <w:pPr>
        <w:spacing w:line="276" w:lineRule="auto"/>
        <w:rPr>
          <w:sz w:val="24"/>
          <w:szCs w:val="24"/>
        </w:rPr>
      </w:pPr>
      <w:r w:rsidRPr="002A4D2A">
        <w:rPr>
          <w:sz w:val="24"/>
          <w:szCs w:val="24"/>
        </w:rPr>
        <w:t>V rámci průzkumu budou provedeny následující hydrogeologické práce v níže uvedeném rozsahu:</w:t>
      </w:r>
    </w:p>
    <w:p w14:paraId="3E112617" w14:textId="77777777" w:rsidR="002A4D2A" w:rsidRPr="002A4D2A" w:rsidRDefault="002A4D2A" w:rsidP="00722AA0">
      <w:pPr>
        <w:pStyle w:val="Odstavecseseznamem"/>
        <w:numPr>
          <w:ilvl w:val="0"/>
          <w:numId w:val="35"/>
        </w:numPr>
        <w:spacing w:after="160" w:line="276" w:lineRule="auto"/>
        <w:rPr>
          <w:sz w:val="24"/>
          <w:szCs w:val="24"/>
        </w:rPr>
      </w:pPr>
      <w:r w:rsidRPr="002A4D2A">
        <w:rPr>
          <w:sz w:val="24"/>
          <w:szCs w:val="24"/>
        </w:rPr>
        <w:t>v nově realizovaných hydrogeologických monitorovacích vrtech – odběr, kontinuální měření HPV</w:t>
      </w:r>
    </w:p>
    <w:p w14:paraId="32EF1EB1" w14:textId="1CCCF7BF" w:rsidR="002A4D2A" w:rsidRPr="002A4D2A" w:rsidRDefault="002A4D2A" w:rsidP="00722AA0">
      <w:pPr>
        <w:spacing w:line="276" w:lineRule="auto"/>
        <w:jc w:val="both"/>
        <w:rPr>
          <w:sz w:val="24"/>
          <w:szCs w:val="24"/>
        </w:rPr>
      </w:pPr>
      <w:r w:rsidRPr="002A4D2A">
        <w:rPr>
          <w:sz w:val="24"/>
          <w:szCs w:val="24"/>
        </w:rPr>
        <w:t>Dále budou</w:t>
      </w:r>
      <w:r w:rsidR="00DE6B55">
        <w:rPr>
          <w:sz w:val="24"/>
          <w:szCs w:val="24"/>
        </w:rPr>
        <w:t xml:space="preserve"> vybrané</w:t>
      </w:r>
      <w:r w:rsidRPr="002A4D2A">
        <w:rPr>
          <w:sz w:val="24"/>
          <w:szCs w:val="24"/>
        </w:rPr>
        <w:t xml:space="preserve"> nově realizované hydrogeologické vrty</w:t>
      </w:r>
      <w:r w:rsidR="00DE6B55">
        <w:rPr>
          <w:sz w:val="24"/>
          <w:szCs w:val="24"/>
        </w:rPr>
        <w:t xml:space="preserve"> (HG101, HG103 a HG107) </w:t>
      </w:r>
      <w:r w:rsidRPr="002A4D2A">
        <w:rPr>
          <w:sz w:val="24"/>
          <w:szCs w:val="24"/>
        </w:rPr>
        <w:t>osazeny čidlem s automatickým odečtem hladin podzemní vody (</w:t>
      </w:r>
      <w:proofErr w:type="spellStart"/>
      <w:r w:rsidRPr="002A4D2A">
        <w:rPr>
          <w:sz w:val="24"/>
          <w:szCs w:val="24"/>
        </w:rPr>
        <w:t>datalogger</w:t>
      </w:r>
      <w:proofErr w:type="spellEnd"/>
      <w:r w:rsidRPr="002A4D2A">
        <w:rPr>
          <w:sz w:val="24"/>
          <w:szCs w:val="24"/>
        </w:rPr>
        <w:t xml:space="preserve">) pro kontinuální sledování HPV. Stahování dat ze </w:t>
      </w:r>
      <w:proofErr w:type="spellStart"/>
      <w:r w:rsidRPr="002A4D2A">
        <w:rPr>
          <w:sz w:val="24"/>
          <w:szCs w:val="24"/>
        </w:rPr>
        <w:t>samozápisných</w:t>
      </w:r>
      <w:proofErr w:type="spellEnd"/>
      <w:r w:rsidRPr="002A4D2A">
        <w:rPr>
          <w:sz w:val="24"/>
          <w:szCs w:val="24"/>
        </w:rPr>
        <w:t xml:space="preserve"> sond bude prováděno</w:t>
      </w:r>
      <w:r w:rsidR="00C66BEF">
        <w:rPr>
          <w:sz w:val="24"/>
          <w:szCs w:val="24"/>
        </w:rPr>
        <w:t xml:space="preserve"> ze </w:t>
      </w:r>
      <w:r w:rsidR="002A7D4E">
        <w:rPr>
          <w:sz w:val="24"/>
          <w:szCs w:val="24"/>
        </w:rPr>
        <w:t>tří</w:t>
      </w:r>
      <w:r w:rsidR="00C66BEF">
        <w:rPr>
          <w:sz w:val="24"/>
          <w:szCs w:val="24"/>
        </w:rPr>
        <w:t xml:space="preserve"> vybraných vrtů (HG101, HG103 a</w:t>
      </w:r>
      <w:r w:rsidRPr="002A4D2A">
        <w:rPr>
          <w:sz w:val="24"/>
          <w:szCs w:val="24"/>
        </w:rPr>
        <w:t xml:space="preserve"> </w:t>
      </w:r>
      <w:r w:rsidR="00C66BEF">
        <w:rPr>
          <w:sz w:val="24"/>
          <w:szCs w:val="24"/>
        </w:rPr>
        <w:t xml:space="preserve">HG107) </w:t>
      </w:r>
      <w:r w:rsidRPr="002A4D2A">
        <w:rPr>
          <w:sz w:val="24"/>
          <w:szCs w:val="24"/>
        </w:rPr>
        <w:t>společně s kontrolním ručním měřením HPV všec</w:t>
      </w:r>
      <w:r w:rsidR="00C66BEF">
        <w:rPr>
          <w:sz w:val="24"/>
          <w:szCs w:val="24"/>
        </w:rPr>
        <w:t>h</w:t>
      </w:r>
      <w:r w:rsidRPr="002A4D2A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Pr="002A4D2A">
        <w:rPr>
          <w:sz w:val="24"/>
          <w:szCs w:val="24"/>
        </w:rPr>
        <w:t xml:space="preserve"> vrtů, a to </w:t>
      </w:r>
      <w:r>
        <w:rPr>
          <w:sz w:val="24"/>
          <w:szCs w:val="24"/>
        </w:rPr>
        <w:lastRenderedPageBreak/>
        <w:t>měsíčně</w:t>
      </w:r>
      <w:r w:rsidRPr="002A4D2A">
        <w:rPr>
          <w:sz w:val="24"/>
          <w:szCs w:val="24"/>
        </w:rPr>
        <w:t xml:space="preserve"> v období min. </w:t>
      </w:r>
      <w:r>
        <w:rPr>
          <w:sz w:val="24"/>
          <w:szCs w:val="24"/>
        </w:rPr>
        <w:t>6</w:t>
      </w:r>
      <w:r w:rsidRPr="002A4D2A">
        <w:rPr>
          <w:sz w:val="24"/>
          <w:szCs w:val="24"/>
        </w:rPr>
        <w:t xml:space="preserve"> </w:t>
      </w:r>
      <w:r>
        <w:rPr>
          <w:sz w:val="24"/>
          <w:szCs w:val="24"/>
        </w:rPr>
        <w:t>měsíců</w:t>
      </w:r>
      <w:r w:rsidRPr="002A4D2A">
        <w:rPr>
          <w:sz w:val="24"/>
          <w:szCs w:val="24"/>
        </w:rPr>
        <w:t>. V</w:t>
      </w:r>
      <w:r>
        <w:rPr>
          <w:sz w:val="24"/>
          <w:szCs w:val="24"/>
        </w:rPr>
        <w:t>e</w:t>
      </w:r>
      <w:r w:rsidR="002A7D4E">
        <w:rPr>
          <w:sz w:val="24"/>
          <w:szCs w:val="24"/>
        </w:rPr>
        <w:t xml:space="preserve"> třech vybraných</w:t>
      </w:r>
      <w:r>
        <w:rPr>
          <w:sz w:val="24"/>
          <w:szCs w:val="24"/>
        </w:rPr>
        <w:t xml:space="preserve"> </w:t>
      </w:r>
      <w:r w:rsidRPr="002A4D2A">
        <w:rPr>
          <w:sz w:val="24"/>
          <w:szCs w:val="24"/>
        </w:rPr>
        <w:t>vrtech</w:t>
      </w:r>
      <w:r w:rsidR="002A7D4E">
        <w:rPr>
          <w:sz w:val="24"/>
          <w:szCs w:val="24"/>
        </w:rPr>
        <w:t xml:space="preserve"> (HG101, HG103 a</w:t>
      </w:r>
      <w:r w:rsidR="002A7D4E" w:rsidRPr="002A4D2A">
        <w:rPr>
          <w:sz w:val="24"/>
          <w:szCs w:val="24"/>
        </w:rPr>
        <w:t xml:space="preserve"> </w:t>
      </w:r>
      <w:r w:rsidR="002A7D4E">
        <w:rPr>
          <w:sz w:val="24"/>
          <w:szCs w:val="24"/>
        </w:rPr>
        <w:t xml:space="preserve">HG107) </w:t>
      </w:r>
      <w:r w:rsidRPr="002A4D2A">
        <w:rPr>
          <w:sz w:val="24"/>
          <w:szCs w:val="24"/>
        </w:rPr>
        <w:t xml:space="preserve">bude </w:t>
      </w:r>
      <w:r w:rsidRPr="002A7D4E">
        <w:rPr>
          <w:sz w:val="24"/>
          <w:szCs w:val="24"/>
        </w:rPr>
        <w:t xml:space="preserve">provedeno v </w:t>
      </w:r>
      <w:r w:rsidR="002A7D4E" w:rsidRPr="002A7D4E">
        <w:rPr>
          <w:sz w:val="24"/>
          <w:szCs w:val="24"/>
        </w:rPr>
        <w:t>jednom</w:t>
      </w:r>
      <w:r w:rsidRPr="002A7D4E">
        <w:rPr>
          <w:sz w:val="24"/>
          <w:szCs w:val="24"/>
        </w:rPr>
        <w:t xml:space="preserve"> cykl</w:t>
      </w:r>
      <w:r w:rsidR="002A7D4E" w:rsidRPr="002A7D4E">
        <w:rPr>
          <w:sz w:val="24"/>
          <w:szCs w:val="24"/>
        </w:rPr>
        <w:t>u</w:t>
      </w:r>
      <w:r w:rsidRPr="002A7D4E">
        <w:rPr>
          <w:sz w:val="24"/>
          <w:szCs w:val="24"/>
        </w:rPr>
        <w:t xml:space="preserve"> elektrochemické profilování podzemní vody in-</w:t>
      </w:r>
      <w:proofErr w:type="spellStart"/>
      <w:r w:rsidRPr="002A7D4E">
        <w:rPr>
          <w:sz w:val="24"/>
          <w:szCs w:val="24"/>
        </w:rPr>
        <w:t>situ</w:t>
      </w:r>
      <w:proofErr w:type="spellEnd"/>
      <w:r w:rsidRPr="002A7D4E">
        <w:rPr>
          <w:sz w:val="24"/>
          <w:szCs w:val="24"/>
        </w:rPr>
        <w:t xml:space="preserve"> (pH, konduktivita, teplota vody)</w:t>
      </w:r>
      <w:r w:rsidRPr="002A4D2A">
        <w:rPr>
          <w:sz w:val="24"/>
          <w:szCs w:val="24"/>
        </w:rPr>
        <w:t xml:space="preserve"> a dynamické vzorkování podzemní vody pro sledování vývoje kvalitativních parametrů – </w:t>
      </w:r>
      <w:r w:rsidRPr="00334E5C">
        <w:rPr>
          <w:sz w:val="24"/>
          <w:szCs w:val="24"/>
        </w:rPr>
        <w:t xml:space="preserve">ÚCHR (úplný fyzikálně-chemický rozbor), C10-C40 (uhlovodíky), BTEX (benzen, toluen, </w:t>
      </w:r>
      <w:proofErr w:type="spellStart"/>
      <w:r w:rsidRPr="00334E5C">
        <w:rPr>
          <w:sz w:val="24"/>
          <w:szCs w:val="24"/>
        </w:rPr>
        <w:t>ethylbenzen</w:t>
      </w:r>
      <w:proofErr w:type="spellEnd"/>
      <w:r w:rsidRPr="00334E5C">
        <w:rPr>
          <w:sz w:val="24"/>
          <w:szCs w:val="24"/>
        </w:rPr>
        <w:t xml:space="preserve">, xyleny), PAU (polycyklické aromatické uhlovodíky) a vybrané těžké kovy: As, Ni, Cd, </w:t>
      </w:r>
      <w:proofErr w:type="spellStart"/>
      <w:r w:rsidRPr="00334E5C">
        <w:rPr>
          <w:sz w:val="24"/>
          <w:szCs w:val="24"/>
        </w:rPr>
        <w:t>Cu</w:t>
      </w:r>
      <w:proofErr w:type="spellEnd"/>
      <w:r w:rsidRPr="00334E5C">
        <w:rPr>
          <w:sz w:val="24"/>
          <w:szCs w:val="24"/>
        </w:rPr>
        <w:t xml:space="preserve">, </w:t>
      </w:r>
      <w:proofErr w:type="spellStart"/>
      <w:r w:rsidRPr="00334E5C">
        <w:rPr>
          <w:sz w:val="24"/>
          <w:szCs w:val="24"/>
        </w:rPr>
        <w:t>Pb</w:t>
      </w:r>
      <w:proofErr w:type="spellEnd"/>
      <w:r w:rsidRPr="00334E5C">
        <w:rPr>
          <w:sz w:val="24"/>
          <w:szCs w:val="24"/>
        </w:rPr>
        <w:t>, Zn.</w:t>
      </w:r>
      <w:r w:rsidRPr="002A4D2A">
        <w:rPr>
          <w:sz w:val="24"/>
          <w:szCs w:val="24"/>
        </w:rPr>
        <w:t xml:space="preserve"> Dále bude </w:t>
      </w:r>
      <w:r w:rsidR="00DE6B55">
        <w:rPr>
          <w:sz w:val="24"/>
          <w:szCs w:val="24"/>
        </w:rPr>
        <w:t xml:space="preserve">ze všech </w:t>
      </w:r>
      <w:r w:rsidRPr="002A4D2A">
        <w:rPr>
          <w:sz w:val="24"/>
          <w:szCs w:val="24"/>
        </w:rPr>
        <w:t>vrtů odebrán vzorek podzemní vody na agresivitu na beton a ocel dle ČSN EN 206</w:t>
      </w:r>
      <w:r w:rsidR="00564963">
        <w:rPr>
          <w:sz w:val="24"/>
          <w:szCs w:val="24"/>
        </w:rPr>
        <w:t>+A</w:t>
      </w:r>
      <w:r w:rsidRPr="002A4D2A">
        <w:rPr>
          <w:sz w:val="24"/>
          <w:szCs w:val="24"/>
        </w:rPr>
        <w:t>1 a ČSN 038375</w:t>
      </w:r>
      <w:r w:rsidRPr="002A7D4E">
        <w:rPr>
          <w:sz w:val="24"/>
          <w:szCs w:val="24"/>
        </w:rPr>
        <w:t>. Zjištěné výsledky úrovní hladin budou hodnoceny v návaznosti na data zakoupená v ČHMÚ.</w:t>
      </w:r>
    </w:p>
    <w:p w14:paraId="1A793A14" w14:textId="77777777" w:rsidR="002A4D2A" w:rsidRPr="002A4D2A" w:rsidRDefault="002A4D2A" w:rsidP="00722AA0">
      <w:pPr>
        <w:spacing w:line="276" w:lineRule="auto"/>
        <w:jc w:val="both"/>
        <w:rPr>
          <w:sz w:val="24"/>
          <w:szCs w:val="24"/>
        </w:rPr>
      </w:pPr>
    </w:p>
    <w:p w14:paraId="74D8B2E0" w14:textId="14861883" w:rsidR="000C0AA9" w:rsidRPr="000C0AA9" w:rsidRDefault="000C0AA9" w:rsidP="000C0AA9">
      <w:pPr>
        <w:jc w:val="both"/>
        <w:rPr>
          <w:sz w:val="24"/>
          <w:szCs w:val="24"/>
        </w:rPr>
      </w:pPr>
      <w:r w:rsidRPr="000C0AA9">
        <w:rPr>
          <w:sz w:val="24"/>
          <w:szCs w:val="24"/>
        </w:rPr>
        <w:t>Odečty dat z </w:t>
      </w:r>
      <w:proofErr w:type="spellStart"/>
      <w:r w:rsidRPr="000C0AA9">
        <w:rPr>
          <w:sz w:val="24"/>
          <w:szCs w:val="24"/>
        </w:rPr>
        <w:t>datalogeru</w:t>
      </w:r>
      <w:proofErr w:type="spellEnd"/>
      <w:r w:rsidRPr="000C0AA9">
        <w:rPr>
          <w:sz w:val="24"/>
          <w:szCs w:val="24"/>
        </w:rPr>
        <w:t xml:space="preserve"> budou prováděny na </w:t>
      </w:r>
      <w:r>
        <w:rPr>
          <w:sz w:val="24"/>
          <w:szCs w:val="24"/>
        </w:rPr>
        <w:t>3 vybraných</w:t>
      </w:r>
      <w:r w:rsidRPr="000C0AA9">
        <w:rPr>
          <w:sz w:val="24"/>
          <w:szCs w:val="24"/>
        </w:rPr>
        <w:t xml:space="preserve"> nově realizovaných </w:t>
      </w:r>
      <w:r>
        <w:rPr>
          <w:sz w:val="24"/>
          <w:szCs w:val="24"/>
        </w:rPr>
        <w:t>monitorovacích</w:t>
      </w:r>
      <w:r w:rsidRPr="000C0AA9">
        <w:rPr>
          <w:sz w:val="24"/>
          <w:szCs w:val="24"/>
        </w:rPr>
        <w:t xml:space="preserve"> vrtech</w:t>
      </w:r>
      <w:r>
        <w:rPr>
          <w:sz w:val="24"/>
          <w:szCs w:val="24"/>
        </w:rPr>
        <w:t xml:space="preserve"> (HG101, HG103, HG107)</w:t>
      </w:r>
      <w:r w:rsidRPr="000C0AA9">
        <w:rPr>
          <w:sz w:val="24"/>
          <w:szCs w:val="24"/>
        </w:rPr>
        <w:t xml:space="preserve"> </w:t>
      </w:r>
      <w:r>
        <w:rPr>
          <w:sz w:val="24"/>
          <w:szCs w:val="24"/>
        </w:rPr>
        <w:t>po dobu 6 měsíců</w:t>
      </w:r>
      <w:r w:rsidRPr="000C0AA9">
        <w:rPr>
          <w:sz w:val="24"/>
          <w:szCs w:val="24"/>
        </w:rPr>
        <w:t>. Pro doplnění budou sloužit data z ČHMÚ, které si zhotovitel sám zajistí.</w:t>
      </w:r>
    </w:p>
    <w:p w14:paraId="56689ABE" w14:textId="77777777" w:rsidR="002A4D2A" w:rsidRDefault="002A4D2A" w:rsidP="002A4D2A">
      <w:pPr>
        <w:jc w:val="both"/>
      </w:pPr>
    </w:p>
    <w:p w14:paraId="060549A9" w14:textId="1598DE1A" w:rsidR="002A4D2A" w:rsidRDefault="002A4D2A" w:rsidP="006712C7">
      <w:pPr>
        <w:rPr>
          <w:sz w:val="22"/>
          <w:szCs w:val="22"/>
        </w:rPr>
      </w:pPr>
      <w:bookmarkStart w:id="33" w:name="_Ref18926550"/>
      <w:r w:rsidRPr="006712C7">
        <w:rPr>
          <w:sz w:val="22"/>
          <w:szCs w:val="22"/>
        </w:rPr>
        <w:t xml:space="preserve">Tabulka </w:t>
      </w:r>
      <w:r w:rsidR="006712C7">
        <w:rPr>
          <w:sz w:val="22"/>
          <w:szCs w:val="22"/>
        </w:rPr>
        <w:t>3</w:t>
      </w:r>
      <w:r w:rsidRPr="006712C7">
        <w:rPr>
          <w:sz w:val="22"/>
          <w:szCs w:val="22"/>
        </w:rPr>
        <w:t xml:space="preserve"> – Odběr vzorků podzemní vody z hydrogeologických vrtů</w:t>
      </w:r>
      <w:bookmarkEnd w:id="33"/>
      <w:r w:rsidRPr="006712C7">
        <w:rPr>
          <w:sz w:val="22"/>
          <w:szCs w:val="22"/>
        </w:rPr>
        <w:t xml:space="preserve"> </w:t>
      </w:r>
    </w:p>
    <w:p w14:paraId="5E952DC8" w14:textId="77777777" w:rsidR="006712C7" w:rsidRPr="006712C7" w:rsidRDefault="006712C7" w:rsidP="006712C7">
      <w:pPr>
        <w:rPr>
          <w:sz w:val="22"/>
          <w:szCs w:val="22"/>
        </w:rPr>
      </w:pPr>
    </w:p>
    <w:tbl>
      <w:tblPr>
        <w:tblStyle w:val="Mkatabulky"/>
        <w:tblW w:w="7767" w:type="dxa"/>
        <w:jc w:val="center"/>
        <w:tblLook w:val="04A0" w:firstRow="1" w:lastRow="0" w:firstColumn="1" w:lastColumn="0" w:noHBand="0" w:noVBand="1"/>
      </w:tblPr>
      <w:tblGrid>
        <w:gridCol w:w="1251"/>
        <w:gridCol w:w="1616"/>
        <w:gridCol w:w="2448"/>
        <w:gridCol w:w="2452"/>
      </w:tblGrid>
      <w:tr w:rsidR="002A4D2A" w14:paraId="034F48E6" w14:textId="77777777" w:rsidTr="00C235D5">
        <w:trPr>
          <w:jc w:val="center"/>
        </w:trPr>
        <w:tc>
          <w:tcPr>
            <w:tcW w:w="1251" w:type="dxa"/>
            <w:vMerge w:val="restart"/>
            <w:shd w:val="clear" w:color="auto" w:fill="FFFF99"/>
            <w:vAlign w:val="center"/>
          </w:tcPr>
          <w:p w14:paraId="13E79BAF" w14:textId="69A28626" w:rsidR="002A4D2A" w:rsidRPr="009634F7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 w:rsidRPr="009634F7">
              <w:rPr>
                <w:rFonts w:eastAsiaTheme="minorHAnsi"/>
                <w:b/>
                <w:bCs/>
                <w:sz w:val="20"/>
                <w:lang w:eastAsia="en-US"/>
              </w:rPr>
              <w:t>Označení vrtu</w:t>
            </w:r>
          </w:p>
        </w:tc>
        <w:tc>
          <w:tcPr>
            <w:tcW w:w="6516" w:type="dxa"/>
            <w:gridSpan w:val="3"/>
            <w:shd w:val="clear" w:color="auto" w:fill="FFFF99"/>
          </w:tcPr>
          <w:p w14:paraId="374C4066" w14:textId="77777777" w:rsidR="002A4D2A" w:rsidRPr="009634F7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 w:rsidRPr="009634F7">
              <w:rPr>
                <w:rFonts w:eastAsiaTheme="minorHAnsi"/>
                <w:b/>
                <w:bCs/>
                <w:sz w:val="20"/>
                <w:lang w:eastAsia="en-US"/>
              </w:rPr>
              <w:t>Chemické rozbory vod</w:t>
            </w:r>
            <w:r>
              <w:rPr>
                <w:rFonts w:eastAsiaTheme="minorHAnsi"/>
                <w:b/>
                <w:bCs/>
                <w:sz w:val="20"/>
                <w:lang w:eastAsia="en-US"/>
              </w:rPr>
              <w:t>y</w:t>
            </w:r>
          </w:p>
        </w:tc>
      </w:tr>
      <w:tr w:rsidR="002A4D2A" w14:paraId="32F4FAE9" w14:textId="77777777" w:rsidTr="00C235D5">
        <w:trPr>
          <w:jc w:val="center"/>
        </w:trPr>
        <w:tc>
          <w:tcPr>
            <w:tcW w:w="1251" w:type="dxa"/>
            <w:vMerge/>
            <w:shd w:val="clear" w:color="auto" w:fill="FFFF99"/>
          </w:tcPr>
          <w:p w14:paraId="13AC49BE" w14:textId="77777777" w:rsidR="002A4D2A" w:rsidRPr="009634F7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16" w:type="dxa"/>
            <w:shd w:val="clear" w:color="auto" w:fill="FFFF99"/>
          </w:tcPr>
          <w:p w14:paraId="5395BB9E" w14:textId="77777777" w:rsidR="002A4D2A" w:rsidRPr="009634F7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agresivita na beton a ocel</w:t>
            </w:r>
          </w:p>
        </w:tc>
        <w:tc>
          <w:tcPr>
            <w:tcW w:w="2448" w:type="dxa"/>
            <w:shd w:val="clear" w:color="auto" w:fill="FFFF99"/>
          </w:tcPr>
          <w:p w14:paraId="324B72B8" w14:textId="77777777" w:rsidR="002A4D2A" w:rsidRPr="009634F7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sz w:val="20"/>
                <w:lang w:eastAsia="en-US"/>
              </w:rPr>
              <w:t>elektrochemické profilování</w:t>
            </w:r>
          </w:p>
        </w:tc>
        <w:tc>
          <w:tcPr>
            <w:tcW w:w="2452" w:type="dxa"/>
            <w:shd w:val="clear" w:color="auto" w:fill="FFFF99"/>
            <w:vAlign w:val="center"/>
          </w:tcPr>
          <w:p w14:paraId="137CB9EA" w14:textId="77777777" w:rsidR="002A4D2A" w:rsidRPr="009634F7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b/>
                <w:bCs/>
                <w:sz w:val="20"/>
                <w:lang w:eastAsia="en-US"/>
              </w:rPr>
            </w:pPr>
            <w:r w:rsidRPr="009634F7">
              <w:rPr>
                <w:rFonts w:eastAsiaTheme="minorHAnsi"/>
                <w:b/>
                <w:bCs/>
                <w:sz w:val="20"/>
                <w:lang w:eastAsia="en-US"/>
              </w:rPr>
              <w:t>ÚCHR, C</w:t>
            </w:r>
            <w:r w:rsidRPr="009634F7">
              <w:rPr>
                <w:rFonts w:eastAsiaTheme="minorHAnsi"/>
                <w:b/>
                <w:bCs/>
                <w:sz w:val="20"/>
                <w:vertAlign w:val="subscript"/>
                <w:lang w:eastAsia="en-US"/>
              </w:rPr>
              <w:t xml:space="preserve">10 – </w:t>
            </w:r>
            <w:r w:rsidRPr="009634F7">
              <w:rPr>
                <w:rFonts w:eastAsiaTheme="minorHAnsi"/>
                <w:b/>
                <w:bCs/>
                <w:sz w:val="20"/>
                <w:lang w:eastAsia="en-US"/>
              </w:rPr>
              <w:t>C</w:t>
            </w:r>
            <w:r w:rsidRPr="009634F7">
              <w:rPr>
                <w:rFonts w:eastAsiaTheme="minorHAnsi"/>
                <w:b/>
                <w:bCs/>
                <w:sz w:val="20"/>
                <w:vertAlign w:val="subscript"/>
                <w:lang w:eastAsia="en-US"/>
              </w:rPr>
              <w:t>40</w:t>
            </w:r>
            <w:r w:rsidRPr="009634F7">
              <w:rPr>
                <w:rFonts w:eastAsiaTheme="minorHAnsi"/>
                <w:b/>
                <w:bCs/>
                <w:sz w:val="20"/>
                <w:lang w:eastAsia="en-US"/>
              </w:rPr>
              <w:t xml:space="preserve">, </w:t>
            </w:r>
            <w:r>
              <w:rPr>
                <w:rFonts w:eastAsiaTheme="minorHAnsi"/>
                <w:b/>
                <w:bCs/>
                <w:sz w:val="20"/>
                <w:lang w:eastAsia="en-US"/>
              </w:rPr>
              <w:t>BTEX, PAU, TK</w:t>
            </w:r>
          </w:p>
        </w:tc>
      </w:tr>
      <w:tr w:rsidR="002A4D2A" w14:paraId="5F3FD3E5" w14:textId="77777777" w:rsidTr="00B72156">
        <w:trPr>
          <w:jc w:val="center"/>
        </w:trPr>
        <w:tc>
          <w:tcPr>
            <w:tcW w:w="1251" w:type="dxa"/>
          </w:tcPr>
          <w:p w14:paraId="7B4A7942" w14:textId="77777777" w:rsidR="007A2DE4" w:rsidRPr="00D46A76" w:rsidRDefault="002A4D2A" w:rsidP="007A2DE4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D46A76">
              <w:rPr>
                <w:rFonts w:eastAsiaTheme="minorHAnsi"/>
                <w:sz w:val="20"/>
                <w:lang w:eastAsia="en-US"/>
              </w:rPr>
              <w:t>H</w:t>
            </w:r>
            <w:r w:rsidR="007A2DE4">
              <w:rPr>
                <w:rFonts w:eastAsiaTheme="minorHAnsi"/>
                <w:sz w:val="20"/>
                <w:lang w:eastAsia="en-US"/>
              </w:rPr>
              <w:t>G101</w:t>
            </w:r>
          </w:p>
        </w:tc>
        <w:tc>
          <w:tcPr>
            <w:tcW w:w="1616" w:type="dxa"/>
          </w:tcPr>
          <w:p w14:paraId="731AD727" w14:textId="77777777" w:rsidR="002A4D2A" w:rsidRPr="007573CB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7573CB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48" w:type="dxa"/>
          </w:tcPr>
          <w:p w14:paraId="67BCEEDF" w14:textId="765C0B1C" w:rsidR="002A4D2A" w:rsidRPr="00994158" w:rsidRDefault="00C66BEF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994158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52" w:type="dxa"/>
          </w:tcPr>
          <w:p w14:paraId="5624DD04" w14:textId="77777777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</w:tr>
      <w:tr w:rsidR="002A4D2A" w14:paraId="7572ADF7" w14:textId="77777777" w:rsidTr="00B72156">
        <w:trPr>
          <w:jc w:val="center"/>
        </w:trPr>
        <w:tc>
          <w:tcPr>
            <w:tcW w:w="1251" w:type="dxa"/>
          </w:tcPr>
          <w:p w14:paraId="2EB0D22F" w14:textId="77777777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D46A76">
              <w:rPr>
                <w:rFonts w:eastAsiaTheme="minorHAnsi"/>
                <w:sz w:val="20"/>
                <w:lang w:eastAsia="en-US"/>
              </w:rPr>
              <w:t>H</w:t>
            </w:r>
            <w:r>
              <w:rPr>
                <w:rFonts w:eastAsiaTheme="minorHAnsi"/>
                <w:sz w:val="20"/>
                <w:lang w:eastAsia="en-US"/>
              </w:rPr>
              <w:t>G102</w:t>
            </w:r>
          </w:p>
        </w:tc>
        <w:tc>
          <w:tcPr>
            <w:tcW w:w="1616" w:type="dxa"/>
          </w:tcPr>
          <w:p w14:paraId="507C0E52" w14:textId="77777777" w:rsidR="002A4D2A" w:rsidRPr="007573CB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7573CB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48" w:type="dxa"/>
          </w:tcPr>
          <w:p w14:paraId="423E30F0" w14:textId="028E95F7" w:rsidR="002A4D2A" w:rsidRPr="00994158" w:rsidRDefault="00C66BEF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994158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2452" w:type="dxa"/>
          </w:tcPr>
          <w:p w14:paraId="66E83629" w14:textId="63EEA22C" w:rsidR="002A4D2A" w:rsidRPr="00D46A76" w:rsidRDefault="00DE6B55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</w:tr>
      <w:tr w:rsidR="002A4D2A" w14:paraId="13393B89" w14:textId="77777777" w:rsidTr="00B72156">
        <w:trPr>
          <w:jc w:val="center"/>
        </w:trPr>
        <w:tc>
          <w:tcPr>
            <w:tcW w:w="1251" w:type="dxa"/>
          </w:tcPr>
          <w:p w14:paraId="4B88CC39" w14:textId="77777777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D46A76">
              <w:rPr>
                <w:rFonts w:eastAsiaTheme="minorHAnsi"/>
                <w:sz w:val="20"/>
                <w:lang w:eastAsia="en-US"/>
              </w:rPr>
              <w:t>H</w:t>
            </w:r>
            <w:r>
              <w:rPr>
                <w:rFonts w:eastAsiaTheme="minorHAnsi"/>
                <w:sz w:val="20"/>
                <w:lang w:eastAsia="en-US"/>
              </w:rPr>
              <w:t>G103</w:t>
            </w:r>
          </w:p>
        </w:tc>
        <w:tc>
          <w:tcPr>
            <w:tcW w:w="1616" w:type="dxa"/>
          </w:tcPr>
          <w:p w14:paraId="5A0F8B56" w14:textId="77777777" w:rsidR="002A4D2A" w:rsidRPr="007573CB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7573CB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48" w:type="dxa"/>
          </w:tcPr>
          <w:p w14:paraId="216139E9" w14:textId="11BD4925" w:rsidR="002A4D2A" w:rsidRPr="00994158" w:rsidRDefault="00C66BEF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994158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52" w:type="dxa"/>
          </w:tcPr>
          <w:p w14:paraId="29F7670E" w14:textId="54D05736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</w:tr>
      <w:tr w:rsidR="002A4D2A" w14:paraId="7F2DFF5B" w14:textId="77777777" w:rsidTr="00B72156">
        <w:trPr>
          <w:jc w:val="center"/>
        </w:trPr>
        <w:tc>
          <w:tcPr>
            <w:tcW w:w="1251" w:type="dxa"/>
          </w:tcPr>
          <w:p w14:paraId="15ADBA22" w14:textId="77777777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D46A76">
              <w:rPr>
                <w:rFonts w:eastAsiaTheme="minorHAnsi"/>
                <w:sz w:val="20"/>
                <w:lang w:eastAsia="en-US"/>
              </w:rPr>
              <w:t>H</w:t>
            </w:r>
            <w:r>
              <w:rPr>
                <w:rFonts w:eastAsiaTheme="minorHAnsi"/>
                <w:sz w:val="20"/>
                <w:lang w:eastAsia="en-US"/>
              </w:rPr>
              <w:t>G104</w:t>
            </w:r>
          </w:p>
        </w:tc>
        <w:tc>
          <w:tcPr>
            <w:tcW w:w="1616" w:type="dxa"/>
          </w:tcPr>
          <w:p w14:paraId="44CA6924" w14:textId="77777777" w:rsidR="002A4D2A" w:rsidRPr="00D46A76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48" w:type="dxa"/>
          </w:tcPr>
          <w:p w14:paraId="24306C29" w14:textId="4C3152B9" w:rsidR="002A4D2A" w:rsidRPr="00994158" w:rsidRDefault="00C66BEF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994158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2452" w:type="dxa"/>
          </w:tcPr>
          <w:p w14:paraId="70B231D0" w14:textId="4BC98891" w:rsidR="002A4D2A" w:rsidRPr="00D46A76" w:rsidRDefault="00DE6B55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</w:tr>
      <w:tr w:rsidR="002A4D2A" w14:paraId="23ED198A" w14:textId="77777777" w:rsidTr="00B72156">
        <w:trPr>
          <w:jc w:val="center"/>
        </w:trPr>
        <w:tc>
          <w:tcPr>
            <w:tcW w:w="1251" w:type="dxa"/>
          </w:tcPr>
          <w:p w14:paraId="22AA3D92" w14:textId="77777777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D46A76">
              <w:rPr>
                <w:rFonts w:eastAsiaTheme="minorHAnsi"/>
                <w:sz w:val="20"/>
                <w:lang w:eastAsia="en-US"/>
              </w:rPr>
              <w:t>H</w:t>
            </w:r>
            <w:r>
              <w:rPr>
                <w:rFonts w:eastAsiaTheme="minorHAnsi"/>
                <w:sz w:val="20"/>
                <w:lang w:eastAsia="en-US"/>
              </w:rPr>
              <w:t>G105</w:t>
            </w:r>
          </w:p>
        </w:tc>
        <w:tc>
          <w:tcPr>
            <w:tcW w:w="1616" w:type="dxa"/>
          </w:tcPr>
          <w:p w14:paraId="7808D916" w14:textId="77777777" w:rsidR="002A4D2A" w:rsidRPr="00D46A76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48" w:type="dxa"/>
          </w:tcPr>
          <w:p w14:paraId="067D1309" w14:textId="6AE9AF9F" w:rsidR="002A4D2A" w:rsidRPr="00994158" w:rsidRDefault="00C66BEF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994158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2452" w:type="dxa"/>
          </w:tcPr>
          <w:p w14:paraId="0750056F" w14:textId="0D88F21A" w:rsidR="002A4D2A" w:rsidRPr="00D46A76" w:rsidRDefault="00DE6B55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</w:tr>
      <w:tr w:rsidR="002A4D2A" w14:paraId="26092A5A" w14:textId="77777777" w:rsidTr="00B72156">
        <w:trPr>
          <w:jc w:val="center"/>
        </w:trPr>
        <w:tc>
          <w:tcPr>
            <w:tcW w:w="1251" w:type="dxa"/>
          </w:tcPr>
          <w:p w14:paraId="59F98F09" w14:textId="77777777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D46A76">
              <w:rPr>
                <w:rFonts w:eastAsiaTheme="minorHAnsi"/>
                <w:sz w:val="20"/>
                <w:lang w:eastAsia="en-US"/>
              </w:rPr>
              <w:t>H</w:t>
            </w:r>
            <w:r>
              <w:rPr>
                <w:rFonts w:eastAsiaTheme="minorHAnsi"/>
                <w:sz w:val="20"/>
                <w:lang w:eastAsia="en-US"/>
              </w:rPr>
              <w:t>G106</w:t>
            </w:r>
          </w:p>
        </w:tc>
        <w:tc>
          <w:tcPr>
            <w:tcW w:w="1616" w:type="dxa"/>
          </w:tcPr>
          <w:p w14:paraId="55F1262F" w14:textId="77777777" w:rsidR="002A4D2A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48" w:type="dxa"/>
          </w:tcPr>
          <w:p w14:paraId="1F52B1B7" w14:textId="77777777" w:rsidR="002A4D2A" w:rsidRPr="00994158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994158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2452" w:type="dxa"/>
          </w:tcPr>
          <w:p w14:paraId="42788EC0" w14:textId="59BC979A" w:rsidR="002A4D2A" w:rsidRPr="00D46A76" w:rsidRDefault="00DE6B55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</w:p>
        </w:tc>
      </w:tr>
      <w:tr w:rsidR="002A4D2A" w14:paraId="2EF441D5" w14:textId="77777777" w:rsidTr="00B72156">
        <w:trPr>
          <w:jc w:val="center"/>
        </w:trPr>
        <w:tc>
          <w:tcPr>
            <w:tcW w:w="1251" w:type="dxa"/>
          </w:tcPr>
          <w:p w14:paraId="48AA86ED" w14:textId="77777777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D46A76">
              <w:rPr>
                <w:rFonts w:eastAsiaTheme="minorHAnsi"/>
                <w:sz w:val="20"/>
                <w:lang w:eastAsia="en-US"/>
              </w:rPr>
              <w:t>H</w:t>
            </w:r>
            <w:r>
              <w:rPr>
                <w:rFonts w:eastAsiaTheme="minorHAnsi"/>
                <w:sz w:val="20"/>
                <w:lang w:eastAsia="en-US"/>
              </w:rPr>
              <w:t>G107</w:t>
            </w:r>
          </w:p>
        </w:tc>
        <w:tc>
          <w:tcPr>
            <w:tcW w:w="1616" w:type="dxa"/>
          </w:tcPr>
          <w:p w14:paraId="51070FD5" w14:textId="77777777" w:rsidR="002A4D2A" w:rsidRDefault="002A4D2A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48" w:type="dxa"/>
          </w:tcPr>
          <w:p w14:paraId="16F74123" w14:textId="4A31786A" w:rsidR="002A4D2A" w:rsidRPr="00994158" w:rsidRDefault="00C66BEF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 w:rsidRPr="00994158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2452" w:type="dxa"/>
          </w:tcPr>
          <w:p w14:paraId="268A9EA1" w14:textId="57AE9BAA" w:rsidR="002A4D2A" w:rsidRPr="00D46A76" w:rsidRDefault="007A2DE4" w:rsidP="00B72156">
            <w:pPr>
              <w:pStyle w:val="atextzpr"/>
              <w:spacing w:before="0" w:line="276" w:lineRule="auto"/>
              <w:ind w:firstLine="0"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1</w:t>
            </w:r>
          </w:p>
        </w:tc>
      </w:tr>
    </w:tbl>
    <w:p w14:paraId="6B8E5CD2" w14:textId="77777777" w:rsidR="002A4D2A" w:rsidRDefault="002A4D2A" w:rsidP="002A4D2A">
      <w:pPr>
        <w:jc w:val="both"/>
      </w:pPr>
    </w:p>
    <w:p w14:paraId="4F8BD954" w14:textId="332F3E6C" w:rsidR="002A4D2A" w:rsidRPr="002A4D2A" w:rsidRDefault="00174DCB" w:rsidP="002A4D2A">
      <w:pPr>
        <w:pStyle w:val="Nadpis3"/>
      </w:pPr>
      <w:bookmarkStart w:id="34" w:name="_Toc25579988"/>
      <w:bookmarkStart w:id="35" w:name="_Toc37165921"/>
      <w:r>
        <w:t>4</w:t>
      </w:r>
      <w:r w:rsidR="002A4D2A" w:rsidRPr="002A4D2A">
        <w:t>.</w:t>
      </w:r>
      <w:r w:rsidR="002A4D2A">
        <w:t>4</w:t>
      </w:r>
      <w:r w:rsidR="002A4D2A" w:rsidRPr="002A4D2A">
        <w:t>.</w:t>
      </w:r>
      <w:r w:rsidR="002A4D2A">
        <w:t>2</w:t>
      </w:r>
      <w:r w:rsidR="002A4D2A" w:rsidRPr="002A4D2A">
        <w:t xml:space="preserve"> Čerpací zkoušky</w:t>
      </w:r>
      <w:bookmarkEnd w:id="34"/>
      <w:bookmarkEnd w:id="35"/>
    </w:p>
    <w:p w14:paraId="536817D6" w14:textId="6FA2450E" w:rsidR="002A4D2A" w:rsidRPr="00611483" w:rsidRDefault="00611483" w:rsidP="00722AA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994158">
        <w:rPr>
          <w:sz w:val="24"/>
          <w:szCs w:val="24"/>
        </w:rPr>
        <w:t>e</w:t>
      </w:r>
      <w:r>
        <w:rPr>
          <w:sz w:val="24"/>
          <w:szCs w:val="24"/>
        </w:rPr>
        <w:t> všech realizovaných hydrogeologických vrtech budou provedeny</w:t>
      </w:r>
      <w:r w:rsidR="002A4D2A" w:rsidRPr="002A4D2A">
        <w:rPr>
          <w:sz w:val="24"/>
          <w:szCs w:val="24"/>
        </w:rPr>
        <w:t xml:space="preserve"> čerpací zkoušky pro stanovení případného možného přítoku do stavební jámy a orientační ověření hydraulických parametrů.</w:t>
      </w:r>
      <w:r w:rsidR="00994158">
        <w:rPr>
          <w:sz w:val="24"/>
          <w:szCs w:val="24"/>
        </w:rPr>
        <w:t xml:space="preserve"> </w:t>
      </w:r>
      <w:r w:rsidR="002A4D2A" w:rsidRPr="002A4D2A">
        <w:rPr>
          <w:sz w:val="24"/>
          <w:szCs w:val="24"/>
        </w:rPr>
        <w:t xml:space="preserve">Hydrodynamické zkoušky budou sestávat z čerpací a stoupací části. Budou provedeny dle ČSN 73 6614 „Zkoušky zdrojů podzemní vody“. </w:t>
      </w:r>
    </w:p>
    <w:p w14:paraId="5B6747A1" w14:textId="77777777" w:rsidR="00C545E6" w:rsidRPr="00C545E6" w:rsidRDefault="00C545E6" w:rsidP="00C545E6">
      <w:pPr>
        <w:rPr>
          <w:sz w:val="24"/>
          <w:szCs w:val="24"/>
          <w:highlight w:val="yellow"/>
        </w:rPr>
      </w:pPr>
    </w:p>
    <w:p w14:paraId="2433D1FE" w14:textId="16C6FDF7" w:rsidR="00C545E6" w:rsidRPr="00C545E6" w:rsidRDefault="00174DCB" w:rsidP="009655FD">
      <w:pPr>
        <w:pStyle w:val="Nadpis2"/>
      </w:pPr>
      <w:bookmarkStart w:id="36" w:name="_Toc37165922"/>
      <w:r>
        <w:t>4</w:t>
      </w:r>
      <w:r w:rsidR="009655FD" w:rsidRPr="00C545E6">
        <w:t>.</w:t>
      </w:r>
      <w:r w:rsidR="00611483">
        <w:t>5</w:t>
      </w:r>
      <w:r w:rsidR="009655FD" w:rsidRPr="00C545E6">
        <w:t xml:space="preserve"> </w:t>
      </w:r>
      <w:r w:rsidR="00C545E6" w:rsidRPr="00C545E6">
        <w:t>G</w:t>
      </w:r>
      <w:r w:rsidR="00C545E6">
        <w:t>eofyzikální práce</w:t>
      </w:r>
      <w:bookmarkEnd w:id="36"/>
    </w:p>
    <w:p w14:paraId="7ACB68B2" w14:textId="5D7075C6" w:rsidR="00722AA0" w:rsidRPr="00722AA0" w:rsidRDefault="0094534A" w:rsidP="00722AA0">
      <w:pPr>
        <w:pStyle w:val="atextzpr"/>
        <w:spacing w:line="276" w:lineRule="auto"/>
        <w:ind w:firstLine="0"/>
        <w:rPr>
          <w:szCs w:val="24"/>
        </w:rPr>
      </w:pPr>
      <w:r>
        <w:rPr>
          <w:szCs w:val="24"/>
        </w:rPr>
        <w:t>Jako s</w:t>
      </w:r>
      <w:r w:rsidR="00722AA0" w:rsidRPr="00722AA0">
        <w:rPr>
          <w:szCs w:val="24"/>
        </w:rPr>
        <w:t xml:space="preserve">oučást </w:t>
      </w:r>
      <w:r>
        <w:rPr>
          <w:szCs w:val="24"/>
        </w:rPr>
        <w:t>monitoringu</w:t>
      </w:r>
      <w:r w:rsidR="000C0AA9">
        <w:rPr>
          <w:szCs w:val="24"/>
        </w:rPr>
        <w:t xml:space="preserve"> pro případnou lokalizaci starých důlních děl</w:t>
      </w:r>
      <w:r>
        <w:rPr>
          <w:szCs w:val="24"/>
        </w:rPr>
        <w:t xml:space="preserve"> jsou</w:t>
      </w:r>
      <w:r w:rsidR="00722AA0" w:rsidRPr="00722AA0">
        <w:rPr>
          <w:szCs w:val="24"/>
        </w:rPr>
        <w:t xml:space="preserve"> navrženy geofyzikální práce metodou MRS</w:t>
      </w:r>
      <w:r w:rsidR="00E74799">
        <w:rPr>
          <w:szCs w:val="24"/>
        </w:rPr>
        <w:t xml:space="preserve"> a</w:t>
      </w:r>
      <w:r w:rsidR="00722AA0" w:rsidRPr="00722AA0">
        <w:rPr>
          <w:szCs w:val="24"/>
        </w:rPr>
        <w:t xml:space="preserve"> </w:t>
      </w:r>
      <w:r w:rsidR="00E74799">
        <w:rPr>
          <w:szCs w:val="24"/>
        </w:rPr>
        <w:t>MEU</w:t>
      </w:r>
      <w:r w:rsidR="00722AA0" w:rsidRPr="00722AA0">
        <w:rPr>
          <w:szCs w:val="24"/>
        </w:rPr>
        <w:t xml:space="preserve">. Profily navrženého průzkumu jsou uvedeny v situačním podkladu, </w:t>
      </w:r>
      <w:r w:rsidR="00722AA0" w:rsidRPr="00A42498">
        <w:rPr>
          <w:b/>
          <w:bCs/>
          <w:szCs w:val="24"/>
        </w:rPr>
        <w:t>příloha č.1</w:t>
      </w:r>
      <w:r w:rsidR="00722AA0" w:rsidRPr="00722AA0">
        <w:rPr>
          <w:szCs w:val="24"/>
        </w:rPr>
        <w:t>.</w:t>
      </w:r>
    </w:p>
    <w:p w14:paraId="2551675A" w14:textId="6D1CEE5C" w:rsidR="00C545E6" w:rsidRPr="00B3711A" w:rsidRDefault="00174DCB" w:rsidP="00B3711A">
      <w:pPr>
        <w:pStyle w:val="Nadpis3"/>
      </w:pPr>
      <w:bookmarkStart w:id="37" w:name="_Toc37165923"/>
      <w:r>
        <w:t>4</w:t>
      </w:r>
      <w:r w:rsidR="00C545E6" w:rsidRPr="00B3711A">
        <w:t>.</w:t>
      </w:r>
      <w:r w:rsidR="00611483">
        <w:t>5</w:t>
      </w:r>
      <w:r w:rsidR="00C545E6" w:rsidRPr="00B3711A">
        <w:t xml:space="preserve">.1 MEU – </w:t>
      </w:r>
      <w:proofErr w:type="spellStart"/>
      <w:r w:rsidR="00C545E6" w:rsidRPr="00B3711A">
        <w:t>multielektrodové</w:t>
      </w:r>
      <w:proofErr w:type="spellEnd"/>
      <w:r w:rsidR="00C545E6" w:rsidRPr="00B3711A">
        <w:t xml:space="preserve"> uspořádání</w:t>
      </w:r>
      <w:bookmarkEnd w:id="37"/>
      <w:r w:rsidR="00C545E6" w:rsidRPr="00B3711A">
        <w:t xml:space="preserve"> </w:t>
      </w:r>
    </w:p>
    <w:p w14:paraId="08B5ECA3" w14:textId="77777777" w:rsidR="003C68DD" w:rsidRDefault="00C545E6" w:rsidP="00722AA0">
      <w:pPr>
        <w:spacing w:line="276" w:lineRule="auto"/>
        <w:jc w:val="both"/>
        <w:rPr>
          <w:sz w:val="24"/>
          <w:szCs w:val="24"/>
        </w:rPr>
      </w:pPr>
      <w:r w:rsidRPr="00CD718B">
        <w:rPr>
          <w:sz w:val="24"/>
          <w:szCs w:val="24"/>
        </w:rPr>
        <w:t>Při navrhování geofyzikálního průzkumu se vychází z předpokladu, že</w:t>
      </w:r>
      <w:r w:rsidR="00A05C9F">
        <w:rPr>
          <w:sz w:val="24"/>
          <w:szCs w:val="24"/>
        </w:rPr>
        <w:t xml:space="preserve"> se v dané lokalitě můžou vyskytovat stará důlní díla, která můžou představovat potencionální nebezpečí pro </w:t>
      </w:r>
      <w:r w:rsidR="00B534D5">
        <w:rPr>
          <w:sz w:val="24"/>
          <w:szCs w:val="24"/>
        </w:rPr>
        <w:t xml:space="preserve">plánovanou </w:t>
      </w:r>
      <w:r w:rsidR="00A05C9F">
        <w:rPr>
          <w:sz w:val="24"/>
          <w:szCs w:val="24"/>
        </w:rPr>
        <w:t>stavbu.</w:t>
      </w:r>
      <w:r w:rsidRPr="00CD718B">
        <w:rPr>
          <w:sz w:val="24"/>
          <w:szCs w:val="24"/>
        </w:rPr>
        <w:t xml:space="preserve"> Navrhujeme použít </w:t>
      </w:r>
      <w:proofErr w:type="spellStart"/>
      <w:r w:rsidRPr="00CD718B">
        <w:rPr>
          <w:sz w:val="24"/>
          <w:szCs w:val="24"/>
        </w:rPr>
        <w:t>geoelektrickou</w:t>
      </w:r>
      <w:proofErr w:type="spellEnd"/>
      <w:r w:rsidRPr="00CD718B">
        <w:rPr>
          <w:sz w:val="24"/>
          <w:szCs w:val="24"/>
        </w:rPr>
        <w:t xml:space="preserve"> metodu </w:t>
      </w:r>
      <w:proofErr w:type="spellStart"/>
      <w:r w:rsidRPr="00CD718B">
        <w:rPr>
          <w:sz w:val="24"/>
          <w:szCs w:val="24"/>
        </w:rPr>
        <w:t>multielektrodového</w:t>
      </w:r>
      <w:proofErr w:type="spellEnd"/>
      <w:r w:rsidRPr="00CD718B">
        <w:rPr>
          <w:sz w:val="24"/>
          <w:szCs w:val="24"/>
        </w:rPr>
        <w:t xml:space="preserve"> uspořádání (MEU). </w:t>
      </w:r>
      <w:r w:rsidR="00B534D5">
        <w:rPr>
          <w:sz w:val="24"/>
          <w:szCs w:val="24"/>
        </w:rPr>
        <w:t>Pokud se v oblasti vyskytují hledaná důlní díla, pr</w:t>
      </w:r>
      <w:r w:rsidRPr="00CD718B">
        <w:rPr>
          <w:sz w:val="24"/>
          <w:szCs w:val="24"/>
        </w:rPr>
        <w:t>ojeví</w:t>
      </w:r>
      <w:r w:rsidR="00B534D5">
        <w:rPr>
          <w:sz w:val="24"/>
          <w:szCs w:val="24"/>
        </w:rPr>
        <w:t xml:space="preserve"> se</w:t>
      </w:r>
      <w:r w:rsidRPr="00CD718B">
        <w:rPr>
          <w:sz w:val="24"/>
          <w:szCs w:val="24"/>
        </w:rPr>
        <w:t xml:space="preserve"> anomálií – změnou měrného odporu vůči okolí. Pokud je dostatečný odporový kontrast jednotlivých struktur, je možné sledovat vertikální i horizontální změny. Výsledkem bude hloubkový odporový řez s měrnými odpory a odporovými rozhraními členící prostředí podle litologie.</w:t>
      </w:r>
    </w:p>
    <w:p w14:paraId="3EF6A8A9" w14:textId="07A965E0" w:rsidR="00C545E6" w:rsidRPr="00034B3C" w:rsidRDefault="00C545E6" w:rsidP="00606AE7">
      <w:pPr>
        <w:jc w:val="both"/>
        <w:rPr>
          <w:sz w:val="24"/>
          <w:szCs w:val="24"/>
          <w:highlight w:val="yellow"/>
        </w:rPr>
      </w:pPr>
      <w:r w:rsidRPr="00CD718B">
        <w:rPr>
          <w:sz w:val="24"/>
          <w:szCs w:val="24"/>
        </w:rPr>
        <w:lastRenderedPageBreak/>
        <w:t xml:space="preserve"> </w:t>
      </w:r>
    </w:p>
    <w:p w14:paraId="17B12161" w14:textId="59EBA726" w:rsidR="00C545E6" w:rsidRPr="00334E5C" w:rsidRDefault="00C545E6" w:rsidP="00722AA0">
      <w:pPr>
        <w:spacing w:line="276" w:lineRule="auto"/>
        <w:jc w:val="both"/>
        <w:rPr>
          <w:sz w:val="24"/>
          <w:szCs w:val="24"/>
        </w:rPr>
      </w:pPr>
      <w:r w:rsidRPr="00334E5C">
        <w:rPr>
          <w:sz w:val="24"/>
          <w:szCs w:val="24"/>
        </w:rPr>
        <w:t xml:space="preserve">Předpokládáme, že průzkum bude zaměřen do menších hloubkových úrovní – cca do 10 maximálně 15 m. Hledaná struktura ve větších hloubkách by musela být většího rozsahu. </w:t>
      </w:r>
    </w:p>
    <w:p w14:paraId="40783D50" w14:textId="77777777" w:rsidR="00994158" w:rsidRDefault="00994158" w:rsidP="00722AA0">
      <w:pPr>
        <w:spacing w:line="276" w:lineRule="auto"/>
        <w:jc w:val="both"/>
        <w:rPr>
          <w:sz w:val="24"/>
          <w:szCs w:val="24"/>
          <w:highlight w:val="yellow"/>
        </w:rPr>
      </w:pPr>
    </w:p>
    <w:p w14:paraId="44570871" w14:textId="77777777" w:rsidR="00994158" w:rsidRPr="00994158" w:rsidRDefault="00994158" w:rsidP="00994158">
      <w:pPr>
        <w:jc w:val="both"/>
        <w:rPr>
          <w:i/>
          <w:iCs/>
          <w:sz w:val="24"/>
          <w:szCs w:val="24"/>
        </w:rPr>
      </w:pPr>
      <w:r w:rsidRPr="001161F3">
        <w:rPr>
          <w:i/>
          <w:iCs/>
          <w:sz w:val="24"/>
          <w:szCs w:val="24"/>
        </w:rPr>
        <w:t>Metoda bude použita v 7 profilech GF1 až GF7. Délka profilů je celkem 1625 m.</w:t>
      </w:r>
      <w:r w:rsidRPr="00994158">
        <w:rPr>
          <w:i/>
          <w:iCs/>
          <w:sz w:val="24"/>
          <w:szCs w:val="24"/>
        </w:rPr>
        <w:t xml:space="preserve"> </w:t>
      </w:r>
    </w:p>
    <w:p w14:paraId="015A52BF" w14:textId="77777777" w:rsidR="00034B3C" w:rsidRPr="00034B3C" w:rsidRDefault="00034B3C" w:rsidP="00C545E6">
      <w:pPr>
        <w:rPr>
          <w:sz w:val="24"/>
          <w:szCs w:val="24"/>
          <w:highlight w:val="yellow"/>
        </w:rPr>
      </w:pPr>
    </w:p>
    <w:p w14:paraId="012507F6" w14:textId="069E74D3" w:rsidR="00034B3C" w:rsidRPr="00B3711A" w:rsidRDefault="00C545E6" w:rsidP="00B3711A">
      <w:pPr>
        <w:pStyle w:val="Nadpis3"/>
      </w:pPr>
      <w:r w:rsidRPr="00B3711A">
        <w:t xml:space="preserve"> </w:t>
      </w:r>
      <w:bookmarkStart w:id="38" w:name="_Toc37165924"/>
      <w:r w:rsidR="00174DCB">
        <w:t>4</w:t>
      </w:r>
      <w:r w:rsidR="00034B3C" w:rsidRPr="00B3711A">
        <w:t>.</w:t>
      </w:r>
      <w:r w:rsidR="00611483">
        <w:t>5</w:t>
      </w:r>
      <w:r w:rsidR="00034B3C" w:rsidRPr="00B3711A">
        <w:t>.2 MRS – mělká refrakční seismika</w:t>
      </w:r>
      <w:bookmarkEnd w:id="38"/>
    </w:p>
    <w:p w14:paraId="4D6D0366" w14:textId="12B57786" w:rsidR="00034B3C" w:rsidRDefault="00034B3C" w:rsidP="00722AA0">
      <w:pPr>
        <w:spacing w:line="276" w:lineRule="auto"/>
        <w:jc w:val="both"/>
        <w:rPr>
          <w:sz w:val="24"/>
          <w:szCs w:val="24"/>
        </w:rPr>
      </w:pPr>
      <w:r w:rsidRPr="00B534D5">
        <w:rPr>
          <w:sz w:val="24"/>
          <w:szCs w:val="24"/>
        </w:rPr>
        <w:t>Seismické vlny (generované většinou na povrchu</w:t>
      </w:r>
      <w:r w:rsidR="00606AE7" w:rsidRPr="00B534D5">
        <w:rPr>
          <w:sz w:val="24"/>
          <w:szCs w:val="24"/>
        </w:rPr>
        <w:t xml:space="preserve"> </w:t>
      </w:r>
      <w:r w:rsidRPr="00B534D5">
        <w:rPr>
          <w:sz w:val="24"/>
          <w:szCs w:val="24"/>
        </w:rPr>
        <w:t>údery kladiva) procházejí geologickým prostředím, odrážejí se od seismických (horninových)</w:t>
      </w:r>
      <w:r w:rsidR="00606AE7" w:rsidRPr="00B534D5">
        <w:rPr>
          <w:sz w:val="24"/>
          <w:szCs w:val="24"/>
        </w:rPr>
        <w:t xml:space="preserve"> </w:t>
      </w:r>
      <w:r w:rsidRPr="00B534D5">
        <w:rPr>
          <w:sz w:val="24"/>
          <w:szCs w:val="24"/>
        </w:rPr>
        <w:t>rozhraní a lámou se na nich a přinášejí informace o mělké geologické stavbě, zvláště pak o</w:t>
      </w:r>
      <w:r w:rsidR="00606AE7" w:rsidRPr="00B534D5">
        <w:rPr>
          <w:sz w:val="24"/>
          <w:szCs w:val="24"/>
        </w:rPr>
        <w:t xml:space="preserve"> </w:t>
      </w:r>
      <w:r w:rsidRPr="00B534D5">
        <w:rPr>
          <w:sz w:val="24"/>
          <w:szCs w:val="24"/>
        </w:rPr>
        <w:t>reliéfu pevnějšího podloží s vyššími rychlostmi seismických vln přes km/s. Doba příchodu</w:t>
      </w:r>
      <w:r w:rsidR="00606AE7" w:rsidRPr="00B534D5">
        <w:rPr>
          <w:sz w:val="24"/>
          <w:szCs w:val="24"/>
        </w:rPr>
        <w:t xml:space="preserve"> </w:t>
      </w:r>
      <w:r w:rsidRPr="00B534D5">
        <w:rPr>
          <w:sz w:val="24"/>
          <w:szCs w:val="24"/>
        </w:rPr>
        <w:t>seismických signálů, je registrována ve vzdálených bodech, v nichž je pomocí geofonů</w:t>
      </w:r>
      <w:r w:rsidR="00606AE7" w:rsidRPr="00B534D5">
        <w:rPr>
          <w:sz w:val="24"/>
          <w:szCs w:val="24"/>
        </w:rPr>
        <w:t xml:space="preserve"> </w:t>
      </w:r>
      <w:r w:rsidRPr="00B534D5">
        <w:rPr>
          <w:sz w:val="24"/>
          <w:szCs w:val="24"/>
        </w:rPr>
        <w:t>transformován mechanický vzruch na elektrické napětí, registrované seismickými aparaturami.</w:t>
      </w:r>
      <w:r w:rsidR="00722AA0">
        <w:rPr>
          <w:sz w:val="24"/>
          <w:szCs w:val="24"/>
        </w:rPr>
        <w:t xml:space="preserve"> </w:t>
      </w:r>
      <w:r w:rsidRPr="00B534D5">
        <w:rPr>
          <w:sz w:val="24"/>
          <w:szCs w:val="24"/>
        </w:rPr>
        <w:t>Dosah metody je okolo 30 m</w:t>
      </w:r>
      <w:r w:rsidR="00722AA0">
        <w:rPr>
          <w:sz w:val="24"/>
          <w:szCs w:val="24"/>
        </w:rPr>
        <w:t>.</w:t>
      </w:r>
    </w:p>
    <w:p w14:paraId="2253B674" w14:textId="77777777" w:rsidR="00722AA0" w:rsidRPr="00B534D5" w:rsidRDefault="00722AA0" w:rsidP="00606AE7">
      <w:pPr>
        <w:jc w:val="both"/>
        <w:rPr>
          <w:sz w:val="24"/>
          <w:szCs w:val="24"/>
        </w:rPr>
      </w:pPr>
    </w:p>
    <w:p w14:paraId="6A28307F" w14:textId="77777777" w:rsidR="00C545E6" w:rsidRPr="00994158" w:rsidRDefault="00C545E6" w:rsidP="00606AE7">
      <w:pPr>
        <w:jc w:val="both"/>
        <w:rPr>
          <w:i/>
          <w:iCs/>
          <w:sz w:val="24"/>
          <w:szCs w:val="24"/>
        </w:rPr>
      </w:pPr>
      <w:r w:rsidRPr="00994158">
        <w:rPr>
          <w:i/>
          <w:iCs/>
          <w:sz w:val="24"/>
          <w:szCs w:val="24"/>
        </w:rPr>
        <w:t>Metoda bude použita v</w:t>
      </w:r>
      <w:r w:rsidR="000820A3" w:rsidRPr="00994158">
        <w:rPr>
          <w:i/>
          <w:iCs/>
          <w:sz w:val="24"/>
          <w:szCs w:val="24"/>
        </w:rPr>
        <w:t xml:space="preserve"> 7 </w:t>
      </w:r>
      <w:r w:rsidRPr="00994158">
        <w:rPr>
          <w:i/>
          <w:iCs/>
          <w:sz w:val="24"/>
          <w:szCs w:val="24"/>
        </w:rPr>
        <w:t>profilech GF</w:t>
      </w:r>
      <w:r w:rsidR="000820A3" w:rsidRPr="00994158">
        <w:rPr>
          <w:i/>
          <w:iCs/>
          <w:sz w:val="24"/>
          <w:szCs w:val="24"/>
        </w:rPr>
        <w:t>1 až GF7</w:t>
      </w:r>
      <w:r w:rsidRPr="00994158">
        <w:rPr>
          <w:i/>
          <w:iCs/>
          <w:sz w:val="24"/>
          <w:szCs w:val="24"/>
        </w:rPr>
        <w:t xml:space="preserve">. Délka profilů je celkem </w:t>
      </w:r>
      <w:r w:rsidR="000820A3" w:rsidRPr="00994158">
        <w:rPr>
          <w:i/>
          <w:iCs/>
          <w:sz w:val="24"/>
          <w:szCs w:val="24"/>
        </w:rPr>
        <w:t>1</w:t>
      </w:r>
      <w:r w:rsidR="00606AE7" w:rsidRPr="00994158">
        <w:rPr>
          <w:i/>
          <w:iCs/>
          <w:sz w:val="24"/>
          <w:szCs w:val="24"/>
        </w:rPr>
        <w:t>625</w:t>
      </w:r>
      <w:r w:rsidRPr="00994158">
        <w:rPr>
          <w:i/>
          <w:iCs/>
          <w:sz w:val="24"/>
          <w:szCs w:val="24"/>
        </w:rPr>
        <w:t xml:space="preserve"> m. </w:t>
      </w:r>
    </w:p>
    <w:p w14:paraId="77DA9AB0" w14:textId="1464EB64" w:rsidR="00C545E6" w:rsidRDefault="00C545E6" w:rsidP="00C545E6">
      <w:pPr>
        <w:rPr>
          <w:highlight w:val="yellow"/>
        </w:rPr>
      </w:pPr>
    </w:p>
    <w:p w14:paraId="7EA71A31" w14:textId="77777777" w:rsidR="000D523C" w:rsidRPr="00C545E6" w:rsidRDefault="000D523C" w:rsidP="00C545E6">
      <w:pPr>
        <w:rPr>
          <w:highlight w:val="yellow"/>
        </w:rPr>
      </w:pPr>
    </w:p>
    <w:p w14:paraId="186D5C08" w14:textId="49087A4A" w:rsidR="00317009" w:rsidRPr="003A54BC" w:rsidRDefault="00174DCB" w:rsidP="00245D69">
      <w:pPr>
        <w:pStyle w:val="Nadpis2"/>
      </w:pPr>
      <w:bookmarkStart w:id="39" w:name="_Toc37165925"/>
      <w:r>
        <w:t>4</w:t>
      </w:r>
      <w:r w:rsidR="00245D69" w:rsidRPr="003A54BC">
        <w:t>.</w:t>
      </w:r>
      <w:r w:rsidR="00B534D5">
        <w:t>6</w:t>
      </w:r>
      <w:r w:rsidR="00317009" w:rsidRPr="003A54BC">
        <w:t xml:space="preserve"> Vyhodnocování výsledků </w:t>
      </w:r>
      <w:r w:rsidR="00D07756">
        <w:t>monitoringu</w:t>
      </w:r>
      <w:bookmarkEnd w:id="39"/>
    </w:p>
    <w:p w14:paraId="36706FC1" w14:textId="1F6E2DCE" w:rsidR="00317009" w:rsidRPr="003A54BC" w:rsidRDefault="00174DCB" w:rsidP="00512430">
      <w:pPr>
        <w:pStyle w:val="Nadpis3"/>
        <w:jc w:val="both"/>
      </w:pPr>
      <w:bookmarkStart w:id="40" w:name="_Toc475692839"/>
      <w:bookmarkStart w:id="41" w:name="_Toc477171067"/>
      <w:bookmarkStart w:id="42" w:name="_Toc37165926"/>
      <w:r>
        <w:t>4</w:t>
      </w:r>
      <w:r w:rsidR="00317009" w:rsidRPr="003A54BC">
        <w:t>.</w:t>
      </w:r>
      <w:r w:rsidR="00B534D5">
        <w:t>6</w:t>
      </w:r>
      <w:r w:rsidR="00317009" w:rsidRPr="003A54BC">
        <w:t>.</w:t>
      </w:r>
      <w:r w:rsidR="00ED0075">
        <w:t>1</w:t>
      </w:r>
      <w:r w:rsidR="00317009" w:rsidRPr="003A54BC">
        <w:t xml:space="preserve"> Interpretace výsledků a vyhodnocení průzkumných prací, zpracování ZZ </w:t>
      </w:r>
      <w:bookmarkEnd w:id="40"/>
      <w:bookmarkEnd w:id="41"/>
      <w:r w:rsidR="00F90D11">
        <w:t>monitoringu</w:t>
      </w:r>
      <w:bookmarkEnd w:id="42"/>
    </w:p>
    <w:p w14:paraId="127C1895" w14:textId="77777777" w:rsidR="00317009" w:rsidRPr="003A54BC" w:rsidRDefault="00317009" w:rsidP="00722AA0">
      <w:pPr>
        <w:spacing w:line="276" w:lineRule="auto"/>
        <w:jc w:val="both"/>
        <w:rPr>
          <w:sz w:val="24"/>
          <w:szCs w:val="24"/>
        </w:rPr>
      </w:pPr>
      <w:r w:rsidRPr="003A54BC">
        <w:rPr>
          <w:bCs/>
          <w:sz w:val="24"/>
          <w:szCs w:val="24"/>
        </w:rPr>
        <w:t xml:space="preserve">Závěrečné práce budou zahrnovat interpretaci všech výsledků prací a vyhodnocení průzkumných prací </w:t>
      </w:r>
      <w:r w:rsidR="00ED0075">
        <w:rPr>
          <w:sz w:val="24"/>
          <w:szCs w:val="24"/>
        </w:rPr>
        <w:t>průzkumu</w:t>
      </w:r>
      <w:r w:rsidRPr="003A54BC">
        <w:rPr>
          <w:sz w:val="24"/>
          <w:szCs w:val="24"/>
        </w:rPr>
        <w:t xml:space="preserve"> ve vztahu k plánované výstavbě.</w:t>
      </w:r>
    </w:p>
    <w:p w14:paraId="3DC7BAF6" w14:textId="77777777" w:rsidR="00A219F7" w:rsidRPr="003A54BC" w:rsidRDefault="00A219F7" w:rsidP="00722AA0">
      <w:pPr>
        <w:spacing w:line="276" w:lineRule="auto"/>
        <w:jc w:val="both"/>
        <w:rPr>
          <w:sz w:val="24"/>
          <w:szCs w:val="24"/>
        </w:rPr>
      </w:pPr>
    </w:p>
    <w:p w14:paraId="325C3700" w14:textId="7421419F" w:rsidR="00317009" w:rsidRPr="00C13B7C" w:rsidRDefault="00317009" w:rsidP="00722AA0">
      <w:pPr>
        <w:spacing w:line="276" w:lineRule="auto"/>
        <w:jc w:val="both"/>
        <w:rPr>
          <w:sz w:val="24"/>
          <w:szCs w:val="24"/>
          <w:highlight w:val="yellow"/>
        </w:rPr>
      </w:pPr>
      <w:r w:rsidRPr="003A54BC">
        <w:rPr>
          <w:sz w:val="24"/>
          <w:szCs w:val="24"/>
        </w:rPr>
        <w:t>Zpráva bude obsahovat nejen obecné závěry průzkumných prací, ale i konkrétní posouzení inženýrsko-geologických a hydrogeologických poměrů, vytipování možných problémových míst v trase stavby a</w:t>
      </w:r>
      <w:r w:rsidR="005E66D0">
        <w:rPr>
          <w:sz w:val="24"/>
          <w:szCs w:val="24"/>
        </w:rPr>
        <w:t> </w:t>
      </w:r>
      <w:r w:rsidRPr="003A54BC">
        <w:rPr>
          <w:sz w:val="24"/>
          <w:szCs w:val="24"/>
        </w:rPr>
        <w:t>geotechnická doporučení týkající se interakce geologického prostředí s projektovanou stavbou</w:t>
      </w:r>
      <w:r w:rsidR="00564963">
        <w:rPr>
          <w:sz w:val="24"/>
          <w:szCs w:val="24"/>
        </w:rPr>
        <w:t xml:space="preserve"> a v kontextu k monitoringu důlních děl</w:t>
      </w:r>
      <w:r w:rsidRPr="003A54BC">
        <w:rPr>
          <w:sz w:val="24"/>
          <w:szCs w:val="24"/>
        </w:rPr>
        <w:t xml:space="preserve">. </w:t>
      </w:r>
    </w:p>
    <w:p w14:paraId="16B6C75B" w14:textId="77777777" w:rsidR="00A219F7" w:rsidRPr="00C13B7C" w:rsidRDefault="00A219F7" w:rsidP="00722AA0">
      <w:pPr>
        <w:spacing w:line="276" w:lineRule="auto"/>
        <w:jc w:val="both"/>
        <w:rPr>
          <w:sz w:val="24"/>
          <w:szCs w:val="24"/>
          <w:highlight w:val="yellow"/>
        </w:rPr>
      </w:pPr>
    </w:p>
    <w:p w14:paraId="7D0AA50D" w14:textId="77777777" w:rsidR="00317009" w:rsidRPr="003A54BC" w:rsidRDefault="00317009" w:rsidP="00722AA0">
      <w:pPr>
        <w:spacing w:line="276" w:lineRule="auto"/>
        <w:jc w:val="both"/>
        <w:rPr>
          <w:sz w:val="24"/>
          <w:szCs w:val="24"/>
        </w:rPr>
      </w:pPr>
      <w:r w:rsidRPr="003A54BC">
        <w:rPr>
          <w:sz w:val="24"/>
          <w:szCs w:val="24"/>
        </w:rPr>
        <w:t>Nedílnou součástí závěrečné zprávy budou přílohy obsahující výsledky laboratorních rozborů zemin</w:t>
      </w:r>
      <w:r w:rsidR="003A54BC" w:rsidRPr="003A54BC">
        <w:rPr>
          <w:sz w:val="24"/>
          <w:szCs w:val="24"/>
        </w:rPr>
        <w:t xml:space="preserve">, hornin </w:t>
      </w:r>
      <w:r w:rsidRPr="003A54BC">
        <w:rPr>
          <w:sz w:val="24"/>
          <w:szCs w:val="24"/>
        </w:rPr>
        <w:t>a podzemních vod, měřičská a vrtně technická zpráva.</w:t>
      </w:r>
    </w:p>
    <w:p w14:paraId="1C6AF05E" w14:textId="63205AF9" w:rsidR="00317009" w:rsidRDefault="00317009" w:rsidP="00722AA0">
      <w:pPr>
        <w:spacing w:line="276" w:lineRule="auto"/>
        <w:jc w:val="both"/>
        <w:rPr>
          <w:sz w:val="24"/>
          <w:szCs w:val="24"/>
        </w:rPr>
      </w:pPr>
      <w:r w:rsidRPr="003A54BC">
        <w:rPr>
          <w:sz w:val="24"/>
          <w:szCs w:val="24"/>
        </w:rPr>
        <w:t xml:space="preserve">Závěrečná zpráva </w:t>
      </w:r>
      <w:r w:rsidR="00F90D11">
        <w:rPr>
          <w:sz w:val="24"/>
          <w:szCs w:val="24"/>
        </w:rPr>
        <w:t>monitoringu</w:t>
      </w:r>
      <w:r w:rsidRPr="003A54BC">
        <w:rPr>
          <w:sz w:val="24"/>
          <w:szCs w:val="24"/>
        </w:rPr>
        <w:t xml:space="preserve"> bude obsahovat také nezbytné grafické přílohy minimálně v uvedeném rozsahu: </w:t>
      </w:r>
    </w:p>
    <w:p w14:paraId="74C33DD7" w14:textId="77777777" w:rsidR="00722AA0" w:rsidRPr="003A54BC" w:rsidRDefault="00722AA0" w:rsidP="00722AA0">
      <w:pPr>
        <w:spacing w:line="276" w:lineRule="auto"/>
        <w:jc w:val="both"/>
        <w:rPr>
          <w:sz w:val="24"/>
          <w:szCs w:val="24"/>
        </w:rPr>
      </w:pPr>
    </w:p>
    <w:p w14:paraId="4D93F760" w14:textId="77777777" w:rsidR="00317009" w:rsidRPr="00334E5C" w:rsidRDefault="00317009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bookmarkStart w:id="43" w:name="_Hlk32404228"/>
      <w:r w:rsidRPr="00334E5C">
        <w:rPr>
          <w:sz w:val="24"/>
          <w:szCs w:val="24"/>
        </w:rPr>
        <w:t>přehledná situace okolí zájmového území v měřítku 1:2</w:t>
      </w:r>
      <w:r w:rsidR="00736362" w:rsidRPr="00334E5C">
        <w:rPr>
          <w:sz w:val="24"/>
          <w:szCs w:val="24"/>
        </w:rPr>
        <w:t xml:space="preserve">5 </w:t>
      </w:r>
      <w:r w:rsidRPr="00334E5C">
        <w:rPr>
          <w:sz w:val="24"/>
          <w:szCs w:val="24"/>
        </w:rPr>
        <w:t>000 nebo podrobnějším;</w:t>
      </w:r>
    </w:p>
    <w:p w14:paraId="408604AD" w14:textId="0654EE90" w:rsidR="00317009" w:rsidRPr="00334E5C" w:rsidRDefault="00317009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r w:rsidRPr="00334E5C">
        <w:rPr>
          <w:sz w:val="24"/>
          <w:szCs w:val="24"/>
        </w:rPr>
        <w:t xml:space="preserve">podrobná situace zájmového území se zákresem nových i archivních průzkumných vrtů </w:t>
      </w:r>
      <w:r w:rsidRPr="00334E5C">
        <w:rPr>
          <w:sz w:val="24"/>
          <w:szCs w:val="24"/>
        </w:rPr>
        <w:br/>
        <w:t xml:space="preserve">a sond, s vyznačenými liniemi konstruovaných geofyzikálních profilů </w:t>
      </w:r>
      <w:r w:rsidRPr="00334E5C">
        <w:rPr>
          <w:sz w:val="24"/>
          <w:szCs w:val="24"/>
        </w:rPr>
        <w:br/>
        <w:t>v měřítku 1:2000 nebo podrobnějším;</w:t>
      </w:r>
    </w:p>
    <w:p w14:paraId="706E42C7" w14:textId="77777777" w:rsidR="00317009" w:rsidRPr="00334E5C" w:rsidRDefault="00317009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r w:rsidRPr="00334E5C">
        <w:rPr>
          <w:sz w:val="24"/>
          <w:szCs w:val="24"/>
        </w:rPr>
        <w:t>podélný geotechnický profil trasy silnice obchvatu v měřítku 1:1000/100;</w:t>
      </w:r>
    </w:p>
    <w:p w14:paraId="5104B5A4" w14:textId="77777777" w:rsidR="00317009" w:rsidRPr="00334E5C" w:rsidRDefault="00317009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r w:rsidRPr="00334E5C">
        <w:rPr>
          <w:sz w:val="24"/>
          <w:szCs w:val="24"/>
        </w:rPr>
        <w:t>nepřevýšené geotechnické profily pro mostní objekty v měřítku 1:100 nebo 1:200;</w:t>
      </w:r>
    </w:p>
    <w:p w14:paraId="3CB93D67" w14:textId="14C5F9E9" w:rsidR="00317009" w:rsidRPr="00334E5C" w:rsidRDefault="00317009" w:rsidP="00722AA0">
      <w:pPr>
        <w:numPr>
          <w:ilvl w:val="0"/>
          <w:numId w:val="25"/>
        </w:numPr>
        <w:spacing w:after="120" w:line="276" w:lineRule="auto"/>
        <w:jc w:val="both"/>
        <w:rPr>
          <w:sz w:val="24"/>
          <w:szCs w:val="24"/>
        </w:rPr>
      </w:pPr>
      <w:r w:rsidRPr="00334E5C">
        <w:rPr>
          <w:sz w:val="24"/>
          <w:szCs w:val="24"/>
        </w:rPr>
        <w:t>geologické profily vrtaných jádrových sond ve vertikálním měřítku 1:100, vyhodnocené ve smyslu ČSN 73</w:t>
      </w:r>
      <w:r w:rsidR="003A1AE3" w:rsidRPr="00334E5C">
        <w:rPr>
          <w:sz w:val="24"/>
          <w:szCs w:val="24"/>
        </w:rPr>
        <w:t xml:space="preserve"> </w:t>
      </w:r>
      <w:r w:rsidRPr="00334E5C">
        <w:rPr>
          <w:sz w:val="24"/>
          <w:szCs w:val="24"/>
        </w:rPr>
        <w:t>6133, EN ISO 14688-</w:t>
      </w:r>
      <w:r w:rsidR="00334E5C" w:rsidRPr="00334E5C">
        <w:rPr>
          <w:sz w:val="24"/>
          <w:szCs w:val="24"/>
        </w:rPr>
        <w:t>2</w:t>
      </w:r>
      <w:r w:rsidRPr="00334E5C">
        <w:rPr>
          <w:sz w:val="24"/>
          <w:szCs w:val="24"/>
        </w:rPr>
        <w:t>, TKP4;</w:t>
      </w:r>
    </w:p>
    <w:p w14:paraId="2E8C7117" w14:textId="77777777" w:rsidR="000D523C" w:rsidRPr="00C13B7C" w:rsidRDefault="000D523C" w:rsidP="000D523C">
      <w:pPr>
        <w:spacing w:after="120" w:line="276" w:lineRule="auto"/>
        <w:jc w:val="both"/>
        <w:rPr>
          <w:sz w:val="24"/>
          <w:szCs w:val="24"/>
          <w:highlight w:val="yellow"/>
        </w:rPr>
      </w:pPr>
    </w:p>
    <w:p w14:paraId="5ECF1F2C" w14:textId="77777777" w:rsidR="000C0AA9" w:rsidRDefault="000C0AA9" w:rsidP="001E033F">
      <w:pPr>
        <w:pStyle w:val="Nadpis1"/>
      </w:pPr>
      <w:bookmarkStart w:id="44" w:name="_Toc37165927"/>
      <w:bookmarkEnd w:id="43"/>
    </w:p>
    <w:p w14:paraId="1A56B805" w14:textId="16D8B3A4" w:rsidR="001E033F" w:rsidRPr="00E17560" w:rsidRDefault="00174DCB" w:rsidP="001E033F">
      <w:pPr>
        <w:pStyle w:val="Nadpis1"/>
      </w:pPr>
      <w:r>
        <w:t>5</w:t>
      </w:r>
      <w:r w:rsidR="002B5850" w:rsidRPr="00E17560">
        <w:t xml:space="preserve">. </w:t>
      </w:r>
      <w:r w:rsidR="00F11A42">
        <w:t>Předpokláda</w:t>
      </w:r>
      <w:r w:rsidR="009D6DF9">
        <w:t>ný h</w:t>
      </w:r>
      <w:r w:rsidR="002B5850" w:rsidRPr="00E17560">
        <w:t>armonogram prací</w:t>
      </w:r>
      <w:bookmarkEnd w:id="44"/>
    </w:p>
    <w:p w14:paraId="0BDE643F" w14:textId="7F39AE92" w:rsidR="00786F70" w:rsidRPr="006712C7" w:rsidRDefault="00786F70" w:rsidP="006712C7">
      <w:pPr>
        <w:jc w:val="both"/>
        <w:rPr>
          <w:sz w:val="22"/>
          <w:szCs w:val="22"/>
        </w:rPr>
      </w:pPr>
      <w:r w:rsidRPr="006712C7">
        <w:rPr>
          <w:sz w:val="22"/>
          <w:szCs w:val="22"/>
        </w:rPr>
        <w:t xml:space="preserve">Tabulka </w:t>
      </w:r>
      <w:r w:rsidR="006712C7">
        <w:rPr>
          <w:sz w:val="22"/>
          <w:szCs w:val="22"/>
        </w:rPr>
        <w:t>4</w:t>
      </w:r>
      <w:r w:rsidRPr="006712C7">
        <w:rPr>
          <w:sz w:val="22"/>
          <w:szCs w:val="22"/>
        </w:rPr>
        <w:t xml:space="preserve"> </w:t>
      </w:r>
      <w:r w:rsidR="001D7836" w:rsidRPr="006712C7">
        <w:rPr>
          <w:sz w:val="22"/>
          <w:szCs w:val="22"/>
        </w:rPr>
        <w:t xml:space="preserve">– </w:t>
      </w:r>
      <w:r w:rsidR="002E336F">
        <w:rPr>
          <w:sz w:val="22"/>
          <w:szCs w:val="22"/>
        </w:rPr>
        <w:t>Předpokládaný h</w:t>
      </w:r>
      <w:r w:rsidR="001D7836" w:rsidRPr="006712C7">
        <w:rPr>
          <w:sz w:val="22"/>
          <w:szCs w:val="22"/>
        </w:rPr>
        <w:t>armonogram prací.</w:t>
      </w:r>
    </w:p>
    <w:p w14:paraId="6DB882DA" w14:textId="77777777" w:rsidR="002B5850" w:rsidRPr="00E17560" w:rsidRDefault="002B5850" w:rsidP="002B5850">
      <w:pPr>
        <w:rPr>
          <w:sz w:val="22"/>
          <w:szCs w:val="22"/>
        </w:rPr>
      </w:pPr>
    </w:p>
    <w:tbl>
      <w:tblPr>
        <w:tblW w:w="9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3"/>
        <w:gridCol w:w="481"/>
        <w:gridCol w:w="481"/>
        <w:gridCol w:w="481"/>
        <w:gridCol w:w="481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FE7512" w:rsidRPr="00E17560" w14:paraId="4D6942BC" w14:textId="77777777" w:rsidTr="00FE7512">
        <w:trPr>
          <w:trHeight w:val="264"/>
          <w:jc w:val="center"/>
        </w:trPr>
        <w:tc>
          <w:tcPr>
            <w:tcW w:w="3353" w:type="dxa"/>
            <w:shd w:val="clear" w:color="auto" w:fill="E6E6E6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80C75A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  <w:r w:rsidRPr="00E17560">
              <w:rPr>
                <w:b/>
                <w:bCs/>
              </w:rPr>
              <w:t>Měsíc</w:t>
            </w:r>
          </w:p>
        </w:tc>
        <w:tc>
          <w:tcPr>
            <w:tcW w:w="481" w:type="dxa"/>
            <w:shd w:val="clear" w:color="auto" w:fill="E6E6E6"/>
            <w:vAlign w:val="center"/>
          </w:tcPr>
          <w:p w14:paraId="196C9FBD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6E6E6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738D98B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2</w:t>
            </w:r>
          </w:p>
        </w:tc>
        <w:tc>
          <w:tcPr>
            <w:tcW w:w="481" w:type="dxa"/>
            <w:shd w:val="clear" w:color="auto" w:fill="E6E6E6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FE9910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3</w:t>
            </w:r>
          </w:p>
        </w:tc>
        <w:tc>
          <w:tcPr>
            <w:tcW w:w="481" w:type="dxa"/>
            <w:shd w:val="clear" w:color="auto" w:fill="E6E6E6"/>
            <w:vAlign w:val="center"/>
          </w:tcPr>
          <w:p w14:paraId="7442E67B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4</w:t>
            </w:r>
          </w:p>
        </w:tc>
        <w:tc>
          <w:tcPr>
            <w:tcW w:w="482" w:type="dxa"/>
            <w:shd w:val="clear" w:color="auto" w:fill="E6E6E6"/>
            <w:vAlign w:val="center"/>
          </w:tcPr>
          <w:p w14:paraId="4590FD8F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5</w:t>
            </w:r>
          </w:p>
        </w:tc>
        <w:tc>
          <w:tcPr>
            <w:tcW w:w="482" w:type="dxa"/>
            <w:shd w:val="clear" w:color="auto" w:fill="E6E6E6"/>
            <w:vAlign w:val="center"/>
          </w:tcPr>
          <w:p w14:paraId="665C40F9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6</w:t>
            </w:r>
          </w:p>
        </w:tc>
        <w:tc>
          <w:tcPr>
            <w:tcW w:w="482" w:type="dxa"/>
            <w:shd w:val="clear" w:color="auto" w:fill="E6E6E6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C356B1E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7</w:t>
            </w:r>
          </w:p>
        </w:tc>
        <w:tc>
          <w:tcPr>
            <w:tcW w:w="482" w:type="dxa"/>
            <w:shd w:val="clear" w:color="auto" w:fill="E6E6E6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5B55DC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8</w:t>
            </w:r>
          </w:p>
        </w:tc>
        <w:tc>
          <w:tcPr>
            <w:tcW w:w="482" w:type="dxa"/>
            <w:shd w:val="clear" w:color="auto" w:fill="E6E6E6"/>
          </w:tcPr>
          <w:p w14:paraId="52F9AB6B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9</w:t>
            </w:r>
          </w:p>
        </w:tc>
        <w:tc>
          <w:tcPr>
            <w:tcW w:w="482" w:type="dxa"/>
            <w:shd w:val="clear" w:color="auto" w:fill="E6E6E6"/>
          </w:tcPr>
          <w:p w14:paraId="4F32012F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10</w:t>
            </w:r>
          </w:p>
        </w:tc>
        <w:tc>
          <w:tcPr>
            <w:tcW w:w="482" w:type="dxa"/>
            <w:shd w:val="clear" w:color="auto" w:fill="E6E6E6"/>
          </w:tcPr>
          <w:p w14:paraId="4C6455B2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11</w:t>
            </w:r>
          </w:p>
        </w:tc>
        <w:tc>
          <w:tcPr>
            <w:tcW w:w="482" w:type="dxa"/>
            <w:shd w:val="clear" w:color="auto" w:fill="E6E6E6"/>
          </w:tcPr>
          <w:p w14:paraId="40385D8A" w14:textId="77777777" w:rsidR="00FE7512" w:rsidRPr="00E17560" w:rsidRDefault="00FE7512" w:rsidP="002B5850">
            <w:pPr>
              <w:jc w:val="center"/>
              <w:rPr>
                <w:b/>
                <w:bCs/>
              </w:rPr>
            </w:pPr>
            <w:r w:rsidRPr="00E17560">
              <w:rPr>
                <w:b/>
                <w:bCs/>
              </w:rPr>
              <w:t>12</w:t>
            </w:r>
          </w:p>
        </w:tc>
      </w:tr>
      <w:tr w:rsidR="00FE7512" w:rsidRPr="00E17560" w14:paraId="289D9740" w14:textId="77777777" w:rsidTr="00FE7512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42" w:type="dxa"/>
              <w:bottom w:w="0" w:type="dxa"/>
              <w:right w:w="12" w:type="dxa"/>
            </w:tcMar>
            <w:vAlign w:val="center"/>
          </w:tcPr>
          <w:p w14:paraId="5A320AB3" w14:textId="77777777" w:rsidR="00FE7512" w:rsidRPr="00E17560" w:rsidRDefault="00FE7512" w:rsidP="002B5850">
            <w:pPr>
              <w:rPr>
                <w:b/>
                <w:bCs/>
                <w:sz w:val="18"/>
                <w:szCs w:val="18"/>
              </w:rPr>
            </w:pPr>
            <w:r w:rsidRPr="00E17560">
              <w:rPr>
                <w:rFonts w:hint="eastAsia"/>
                <w:b/>
                <w:bCs/>
                <w:sz w:val="18"/>
                <w:szCs w:val="18"/>
              </w:rPr>
              <w:t>I. Přípravné a projekční práce</w:t>
            </w:r>
          </w:p>
        </w:tc>
        <w:tc>
          <w:tcPr>
            <w:tcW w:w="481" w:type="dxa"/>
            <w:shd w:val="clear" w:color="auto" w:fill="8EAADB" w:themeFill="accent1" w:themeFillTint="99"/>
            <w:vAlign w:val="center"/>
          </w:tcPr>
          <w:p w14:paraId="4CD15E27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shd w:val="clear" w:color="auto" w:fill="8EAADB" w:themeFill="accent1" w:themeFillTint="9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715D1F1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23C0E0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5AB1F4C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0DCA336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B6E5171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2373B96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F5B3AD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6BFAA094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08EF3878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5C55F9E1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696025F8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</w:tr>
      <w:tr w:rsidR="00FE7512" w:rsidRPr="00E17560" w14:paraId="22FD8F59" w14:textId="77777777" w:rsidTr="00FE7512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42" w:type="dxa"/>
              <w:bottom w:w="0" w:type="dxa"/>
              <w:right w:w="12" w:type="dxa"/>
            </w:tcMar>
            <w:vAlign w:val="center"/>
          </w:tcPr>
          <w:p w14:paraId="40C04B44" w14:textId="77777777" w:rsidR="00FE7512" w:rsidRPr="00E17560" w:rsidRDefault="00FE7512" w:rsidP="002B5850">
            <w:pPr>
              <w:rPr>
                <w:sz w:val="18"/>
                <w:szCs w:val="18"/>
              </w:rPr>
            </w:pPr>
            <w:r w:rsidRPr="00E17560">
              <w:rPr>
                <w:rFonts w:hint="eastAsia"/>
                <w:sz w:val="18"/>
                <w:szCs w:val="18"/>
              </w:rPr>
              <w:t xml:space="preserve">rekognoskace, rešeršní práce, </w:t>
            </w:r>
            <w:r w:rsidRPr="00E17560">
              <w:rPr>
                <w:sz w:val="18"/>
                <w:szCs w:val="18"/>
              </w:rPr>
              <w:t xml:space="preserve">povolení vstupu na pozemky, </w:t>
            </w:r>
            <w:r w:rsidRPr="00E17560">
              <w:rPr>
                <w:rFonts w:hint="eastAsia"/>
                <w:sz w:val="18"/>
                <w:szCs w:val="18"/>
              </w:rPr>
              <w:t>oznamovací povinnosti</w:t>
            </w:r>
          </w:p>
        </w:tc>
        <w:tc>
          <w:tcPr>
            <w:tcW w:w="481" w:type="dxa"/>
            <w:shd w:val="clear" w:color="auto" w:fill="DBE5F1"/>
            <w:vAlign w:val="center"/>
          </w:tcPr>
          <w:p w14:paraId="2C144174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shd w:val="clear" w:color="auto" w:fill="DBE5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01FB923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C0E3DD1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9666D6A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9806A53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E7BE4CB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05164B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834E6DB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40892E76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69C8399C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41570038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</w:tcPr>
          <w:p w14:paraId="41B0496C" w14:textId="77777777" w:rsidR="00FE7512" w:rsidRPr="00E17560" w:rsidRDefault="00FE7512" w:rsidP="002B5850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</w:tr>
      <w:tr w:rsidR="00FE7512" w:rsidRPr="00E17560" w14:paraId="09C11BCA" w14:textId="77777777" w:rsidTr="00FE7512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42" w:type="dxa"/>
              <w:bottom w:w="0" w:type="dxa"/>
              <w:right w:w="12" w:type="dxa"/>
            </w:tcMar>
            <w:vAlign w:val="center"/>
          </w:tcPr>
          <w:p w14:paraId="3FC9492E" w14:textId="77777777" w:rsidR="00FE7512" w:rsidRPr="00E17560" w:rsidRDefault="00FE7512" w:rsidP="004B05A9">
            <w:pPr>
              <w:rPr>
                <w:b/>
                <w:bCs/>
                <w:sz w:val="18"/>
                <w:szCs w:val="18"/>
              </w:rPr>
            </w:pPr>
            <w:r w:rsidRPr="00E17560">
              <w:rPr>
                <w:rFonts w:hint="eastAsia"/>
                <w:b/>
                <w:bCs/>
                <w:sz w:val="18"/>
                <w:szCs w:val="18"/>
              </w:rPr>
              <w:t>II. Geologické průzkumné práce</w:t>
            </w:r>
          </w:p>
        </w:tc>
        <w:tc>
          <w:tcPr>
            <w:tcW w:w="481" w:type="dxa"/>
            <w:vAlign w:val="center"/>
          </w:tcPr>
          <w:p w14:paraId="2809432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62EA8C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8EAADB" w:themeFill="accent1" w:themeFillTint="9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BCC9E21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13DB245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590DFAF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8EAADB" w:themeFill="accent1" w:themeFillTint="99"/>
          </w:tcPr>
          <w:p w14:paraId="0861BC03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8EAADB" w:themeFill="accent1" w:themeFillTint="99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876703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8EAADB" w:themeFill="accent1" w:themeFillTint="99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2BCDA5B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0211BB1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7D440A2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364619A4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3A527E39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</w:tr>
      <w:tr w:rsidR="00FE7512" w:rsidRPr="00E17560" w14:paraId="0336826D" w14:textId="77777777" w:rsidTr="00E17560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53C802" w14:textId="77777777" w:rsidR="00FE7512" w:rsidRPr="00E17560" w:rsidRDefault="00FE7512" w:rsidP="004B05A9">
            <w:pPr>
              <w:ind w:firstLine="130"/>
              <w:rPr>
                <w:rFonts w:eastAsia="Arial Unicode MS" w:cs="Arial Unicode MS"/>
                <w:sz w:val="18"/>
                <w:szCs w:val="18"/>
              </w:rPr>
            </w:pPr>
            <w:r w:rsidRPr="00E17560">
              <w:rPr>
                <w:sz w:val="18"/>
                <w:szCs w:val="18"/>
              </w:rPr>
              <w:t>měřičské práce</w:t>
            </w:r>
          </w:p>
        </w:tc>
        <w:tc>
          <w:tcPr>
            <w:tcW w:w="481" w:type="dxa"/>
            <w:vAlign w:val="center"/>
          </w:tcPr>
          <w:p w14:paraId="392CD456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7DAB86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CE0A34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5AC0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61191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1DCACE9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E245A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983FB9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03D1891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18849B43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3245086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1D5FE73B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</w:tr>
      <w:tr w:rsidR="00FE7512" w:rsidRPr="00E17560" w14:paraId="6EF60A02" w14:textId="77777777" w:rsidTr="00E17560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D3647B8" w14:textId="77777777" w:rsidR="00FE7512" w:rsidRPr="00E17560" w:rsidRDefault="00FE7512" w:rsidP="004B05A9">
            <w:pPr>
              <w:ind w:firstLine="130"/>
              <w:rPr>
                <w:sz w:val="18"/>
                <w:szCs w:val="18"/>
              </w:rPr>
            </w:pPr>
            <w:r w:rsidRPr="00E17560">
              <w:rPr>
                <w:sz w:val="18"/>
                <w:szCs w:val="18"/>
              </w:rPr>
              <w:t>vrtné práce</w:t>
            </w:r>
          </w:p>
        </w:tc>
        <w:tc>
          <w:tcPr>
            <w:tcW w:w="481" w:type="dxa"/>
            <w:vAlign w:val="center"/>
          </w:tcPr>
          <w:p w14:paraId="066A3990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42EFA04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93A47D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2DB86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C640A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B66D4F6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304A879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4C01241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078941D3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37AEF90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4E94059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1FA7445B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</w:tr>
      <w:tr w:rsidR="00FE7512" w:rsidRPr="00E17560" w14:paraId="2D8F61A4" w14:textId="77777777" w:rsidTr="000C0AA9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FEADC58" w14:textId="38E41047" w:rsidR="00FE7512" w:rsidRPr="00E17560" w:rsidRDefault="00564963" w:rsidP="004B05A9">
            <w:pPr>
              <w:ind w:firstLine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E7512" w:rsidRPr="00E17560">
              <w:rPr>
                <w:sz w:val="18"/>
                <w:szCs w:val="18"/>
              </w:rPr>
              <w:t>onitoring</w:t>
            </w:r>
          </w:p>
        </w:tc>
        <w:tc>
          <w:tcPr>
            <w:tcW w:w="481" w:type="dxa"/>
            <w:vAlign w:val="center"/>
          </w:tcPr>
          <w:p w14:paraId="2014124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0E26C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F36DB9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C53796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BF2461E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5878B17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93CB710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47A753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auto"/>
          </w:tcPr>
          <w:p w14:paraId="6CEACBB4" w14:textId="77777777" w:rsidR="00FE7512" w:rsidRPr="000C0AA9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auto"/>
          </w:tcPr>
          <w:p w14:paraId="0695AD35" w14:textId="77777777" w:rsidR="00FE7512" w:rsidRPr="000C0AA9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372284A0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4246B4B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</w:tr>
      <w:tr w:rsidR="00FE7512" w:rsidRPr="00E17560" w14:paraId="64C14D7D" w14:textId="77777777" w:rsidTr="00E17560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A19AE8" w14:textId="77777777" w:rsidR="00FE7512" w:rsidRPr="00E17560" w:rsidRDefault="00FE7512" w:rsidP="004B05A9">
            <w:pPr>
              <w:ind w:firstLine="130"/>
              <w:rPr>
                <w:sz w:val="18"/>
                <w:szCs w:val="18"/>
              </w:rPr>
            </w:pPr>
            <w:r w:rsidRPr="00E17560">
              <w:rPr>
                <w:sz w:val="18"/>
                <w:szCs w:val="18"/>
              </w:rPr>
              <w:t>geofyzikální měření</w:t>
            </w:r>
          </w:p>
        </w:tc>
        <w:tc>
          <w:tcPr>
            <w:tcW w:w="481" w:type="dxa"/>
            <w:vAlign w:val="center"/>
          </w:tcPr>
          <w:p w14:paraId="02C09751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179BA9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F82D9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9D891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5FCEE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2F5108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87CB41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8D7001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3F0EA5B6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2FF81EAB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5CBD6102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683F703A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</w:tr>
      <w:tr w:rsidR="00FE7512" w:rsidRPr="00E17560" w14:paraId="5B5BEDAB" w14:textId="77777777" w:rsidTr="00E17560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6C6AE3E" w14:textId="77777777" w:rsidR="00FE7512" w:rsidRPr="00E17560" w:rsidRDefault="00FE7512" w:rsidP="004B05A9">
            <w:pPr>
              <w:ind w:firstLine="130"/>
              <w:rPr>
                <w:sz w:val="18"/>
                <w:szCs w:val="18"/>
              </w:rPr>
            </w:pPr>
            <w:r w:rsidRPr="00E17560">
              <w:rPr>
                <w:sz w:val="18"/>
                <w:szCs w:val="18"/>
              </w:rPr>
              <w:t>terénní měření</w:t>
            </w:r>
          </w:p>
        </w:tc>
        <w:tc>
          <w:tcPr>
            <w:tcW w:w="481" w:type="dxa"/>
            <w:vAlign w:val="center"/>
          </w:tcPr>
          <w:p w14:paraId="6F1767B2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FF21C6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639C96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16B9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91F2E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EDD85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91570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6C45DB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664C1BD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10D49904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46FEF1B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3D8CBDD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</w:tr>
      <w:tr w:rsidR="00FE7512" w:rsidRPr="00E17560" w14:paraId="50197F3F" w14:textId="77777777" w:rsidTr="00FE7512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B9B008" w14:textId="77777777" w:rsidR="00FE7512" w:rsidRPr="00E17560" w:rsidRDefault="00FE7512" w:rsidP="004B05A9">
            <w:pPr>
              <w:ind w:firstLine="130"/>
              <w:rPr>
                <w:sz w:val="18"/>
                <w:szCs w:val="18"/>
              </w:rPr>
            </w:pPr>
            <w:r w:rsidRPr="00E17560">
              <w:rPr>
                <w:rFonts w:hint="eastAsia"/>
                <w:sz w:val="18"/>
                <w:szCs w:val="18"/>
              </w:rPr>
              <w:t>vzorkovací a laboratorní práce</w:t>
            </w:r>
          </w:p>
        </w:tc>
        <w:tc>
          <w:tcPr>
            <w:tcW w:w="481" w:type="dxa"/>
            <w:vAlign w:val="center"/>
          </w:tcPr>
          <w:p w14:paraId="1EA306D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F4B0BB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0E98D2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40982A3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BE5729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C6A00B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9AA61F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87D39BE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371CEEEA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6C06460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47B924C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24C5B766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</w:tr>
      <w:tr w:rsidR="00FE7512" w:rsidRPr="00E17560" w14:paraId="218CFBC9" w14:textId="77777777" w:rsidTr="00E17560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3380C1" w14:textId="77777777" w:rsidR="00FE7512" w:rsidRPr="00E17560" w:rsidRDefault="00FE7512" w:rsidP="004B05A9">
            <w:pPr>
              <w:ind w:firstLine="130"/>
              <w:rPr>
                <w:sz w:val="18"/>
                <w:szCs w:val="18"/>
              </w:rPr>
            </w:pPr>
            <w:r w:rsidRPr="00E17560">
              <w:rPr>
                <w:rFonts w:hint="eastAsia"/>
                <w:sz w:val="18"/>
                <w:szCs w:val="18"/>
              </w:rPr>
              <w:t>sled a řízení terénních prací</w:t>
            </w:r>
          </w:p>
        </w:tc>
        <w:tc>
          <w:tcPr>
            <w:tcW w:w="481" w:type="dxa"/>
            <w:vAlign w:val="center"/>
          </w:tcPr>
          <w:p w14:paraId="3BDF6965" w14:textId="77777777" w:rsidR="00FE7512" w:rsidRPr="00E17560" w:rsidRDefault="00FE7512" w:rsidP="004B05A9">
            <w:pPr>
              <w:jc w:val="center"/>
            </w:pPr>
          </w:p>
        </w:tc>
        <w:tc>
          <w:tcPr>
            <w:tcW w:w="481" w:type="dxa"/>
            <w:tcBorders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4DB162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3ED43BC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C6947" w14:textId="77777777" w:rsidR="00FE7512" w:rsidRPr="00E17560" w:rsidRDefault="00FE7512" w:rsidP="004B05A9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F8470" w14:textId="77777777" w:rsidR="00FE7512" w:rsidRPr="00E17560" w:rsidRDefault="00FE7512" w:rsidP="004B05A9">
            <w:pPr>
              <w:jc w:val="center"/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73886A5" w14:textId="77777777" w:rsidR="00FE7512" w:rsidRPr="00E17560" w:rsidRDefault="00FE7512" w:rsidP="004B05A9">
            <w:pPr>
              <w:jc w:val="center"/>
            </w:pPr>
          </w:p>
        </w:tc>
        <w:tc>
          <w:tcPr>
            <w:tcW w:w="482" w:type="dxa"/>
            <w:shd w:val="clear" w:color="auto" w:fill="FFFFFF" w:themeFill="background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E922622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CDB70C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59F43940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094529B0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3D5D0BD2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</w:tcPr>
          <w:p w14:paraId="359B4AA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</w:tr>
      <w:tr w:rsidR="00FE7512" w:rsidRPr="00E17560" w14:paraId="0564EFE9" w14:textId="77777777" w:rsidTr="00FE7512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42" w:type="dxa"/>
              <w:bottom w:w="0" w:type="dxa"/>
              <w:right w:w="12" w:type="dxa"/>
            </w:tcMar>
            <w:vAlign w:val="center"/>
          </w:tcPr>
          <w:p w14:paraId="38A40A30" w14:textId="77777777" w:rsidR="00FE7512" w:rsidRPr="00E17560" w:rsidRDefault="00FE7512" w:rsidP="004B05A9">
            <w:pPr>
              <w:rPr>
                <w:rFonts w:eastAsia="Arial Unicode MS" w:cs="Arial Unicode MS"/>
                <w:b/>
                <w:bCs/>
                <w:sz w:val="18"/>
                <w:szCs w:val="18"/>
              </w:rPr>
            </w:pPr>
            <w:r w:rsidRPr="00E17560">
              <w:rPr>
                <w:rFonts w:hint="eastAsia"/>
                <w:b/>
                <w:bCs/>
                <w:sz w:val="18"/>
                <w:szCs w:val="18"/>
              </w:rPr>
              <w:t>III. Vyhodnocovací práce</w:t>
            </w:r>
          </w:p>
        </w:tc>
        <w:tc>
          <w:tcPr>
            <w:tcW w:w="481" w:type="dxa"/>
            <w:vAlign w:val="center"/>
          </w:tcPr>
          <w:p w14:paraId="0827A7CF" w14:textId="77777777" w:rsidR="00FE7512" w:rsidRPr="00E17560" w:rsidRDefault="00FE7512" w:rsidP="004B05A9">
            <w:pPr>
              <w:jc w:val="center"/>
              <w:rPr>
                <w:b/>
                <w:bCs/>
              </w:rPr>
            </w:pPr>
          </w:p>
        </w:tc>
        <w:tc>
          <w:tcPr>
            <w:tcW w:w="48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45D77E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0CDD29A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</w:tcPr>
          <w:p w14:paraId="33153730" w14:textId="77777777" w:rsidR="00FE7512" w:rsidRPr="00E17560" w:rsidRDefault="00FE7512" w:rsidP="004B05A9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F2ECBA" w14:textId="77777777" w:rsidR="00FE7512" w:rsidRPr="00E17560" w:rsidRDefault="00FE7512" w:rsidP="004B05A9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35706F91" w14:textId="77777777" w:rsidR="00FE7512" w:rsidRPr="00E17560" w:rsidRDefault="00FE7512" w:rsidP="004B05A9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74D8E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FFFFFF" w:themeFill="background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B1FDD8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8EAADB" w:themeFill="accent1" w:themeFillTint="99"/>
          </w:tcPr>
          <w:p w14:paraId="6D641ED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8EAADB" w:themeFill="accent1" w:themeFillTint="99"/>
          </w:tcPr>
          <w:p w14:paraId="34FFC9A4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8EAADB" w:themeFill="accent1" w:themeFillTint="99"/>
          </w:tcPr>
          <w:p w14:paraId="53E76095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82" w:type="dxa"/>
            <w:shd w:val="clear" w:color="auto" w:fill="8EAADB" w:themeFill="accent1" w:themeFillTint="99"/>
          </w:tcPr>
          <w:p w14:paraId="6E712352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  <w:b/>
                <w:bCs/>
              </w:rPr>
            </w:pPr>
          </w:p>
        </w:tc>
      </w:tr>
      <w:tr w:rsidR="00FE7512" w:rsidRPr="00C13B7C" w14:paraId="68B323FC" w14:textId="77777777" w:rsidTr="00FE7512">
        <w:trPr>
          <w:trHeight w:val="284"/>
          <w:jc w:val="center"/>
        </w:trPr>
        <w:tc>
          <w:tcPr>
            <w:tcW w:w="3353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C547F83" w14:textId="77777777" w:rsidR="00FE7512" w:rsidRPr="00E17560" w:rsidRDefault="00FE7512" w:rsidP="004B05A9">
            <w:pPr>
              <w:ind w:left="130"/>
              <w:rPr>
                <w:sz w:val="18"/>
                <w:szCs w:val="18"/>
              </w:rPr>
            </w:pPr>
            <w:r w:rsidRPr="00E17560">
              <w:rPr>
                <w:rFonts w:hint="eastAsia"/>
                <w:sz w:val="18"/>
                <w:szCs w:val="18"/>
              </w:rPr>
              <w:t>interpretace výsledků</w:t>
            </w:r>
            <w:r w:rsidRPr="00E17560">
              <w:rPr>
                <w:sz w:val="18"/>
                <w:szCs w:val="18"/>
              </w:rPr>
              <w:t>, vyh</w:t>
            </w:r>
            <w:r w:rsidRPr="00E17560">
              <w:rPr>
                <w:rFonts w:hint="eastAsia"/>
                <w:sz w:val="18"/>
                <w:szCs w:val="18"/>
              </w:rPr>
              <w:t>odnocení</w:t>
            </w:r>
            <w:r w:rsidRPr="00E17560">
              <w:rPr>
                <w:sz w:val="18"/>
                <w:szCs w:val="18"/>
              </w:rPr>
              <w:t>, zpracování ZZ</w:t>
            </w:r>
          </w:p>
        </w:tc>
        <w:tc>
          <w:tcPr>
            <w:tcW w:w="481" w:type="dxa"/>
            <w:vAlign w:val="center"/>
          </w:tcPr>
          <w:p w14:paraId="20AC6B1B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95AC39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FCD023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1" w:type="dxa"/>
          </w:tcPr>
          <w:p w14:paraId="3EC9A8DB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595FA0BD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</w:tcPr>
          <w:p w14:paraId="44A661EE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07B72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FFFFFF" w:themeFill="background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90B6A1A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</w:tcPr>
          <w:p w14:paraId="55F25417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</w:tcPr>
          <w:p w14:paraId="4C90DEBB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</w:tcPr>
          <w:p w14:paraId="6CBD86BF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  <w:tc>
          <w:tcPr>
            <w:tcW w:w="482" w:type="dxa"/>
            <w:shd w:val="clear" w:color="auto" w:fill="D9E2F3" w:themeFill="accent1" w:themeFillTint="33"/>
          </w:tcPr>
          <w:p w14:paraId="3DE72CEC" w14:textId="77777777" w:rsidR="00FE7512" w:rsidRPr="00E17560" w:rsidRDefault="00FE7512" w:rsidP="004B05A9">
            <w:pPr>
              <w:jc w:val="center"/>
              <w:rPr>
                <w:rFonts w:eastAsia="Arial Unicode MS" w:cs="Arial Unicode MS"/>
              </w:rPr>
            </w:pPr>
          </w:p>
        </w:tc>
      </w:tr>
    </w:tbl>
    <w:p w14:paraId="3B787AF9" w14:textId="773F2736" w:rsidR="002B5850" w:rsidRDefault="002B5850" w:rsidP="002B5850">
      <w:pPr>
        <w:rPr>
          <w:highlight w:val="yellow"/>
        </w:rPr>
      </w:pPr>
    </w:p>
    <w:bookmarkEnd w:id="29"/>
    <w:p w14:paraId="69E565DE" w14:textId="016F8DBC" w:rsidR="009A6B15" w:rsidRPr="00C13B7C" w:rsidRDefault="009A6B15" w:rsidP="009A6B15">
      <w:pPr>
        <w:rPr>
          <w:highlight w:val="yellow"/>
        </w:rPr>
      </w:pPr>
    </w:p>
    <w:p w14:paraId="2081F255" w14:textId="77777777" w:rsidR="00F069DB" w:rsidRPr="002F03CB" w:rsidRDefault="00F069DB" w:rsidP="00B9262D">
      <w:pPr>
        <w:rPr>
          <w:b/>
          <w:bCs/>
          <w:iCs/>
          <w:sz w:val="24"/>
          <w:szCs w:val="24"/>
        </w:rPr>
      </w:pPr>
      <w:r w:rsidRPr="002F03CB">
        <w:rPr>
          <w:b/>
          <w:bCs/>
          <w:iCs/>
          <w:sz w:val="24"/>
          <w:szCs w:val="24"/>
        </w:rPr>
        <w:t>Rekapitulace prací</w:t>
      </w:r>
    </w:p>
    <w:p w14:paraId="343A63F2" w14:textId="77777777" w:rsidR="00D27279" w:rsidRPr="002F03CB" w:rsidRDefault="00D27279" w:rsidP="00B9262D">
      <w:pPr>
        <w:rPr>
          <w:bCs/>
          <w:iCs/>
          <w:sz w:val="24"/>
          <w:szCs w:val="24"/>
        </w:rPr>
      </w:pPr>
    </w:p>
    <w:p w14:paraId="3F19162D" w14:textId="735D7C24" w:rsidR="00D27279" w:rsidRPr="002F03CB" w:rsidRDefault="002F03CB" w:rsidP="00D27279">
      <w:pPr>
        <w:tabs>
          <w:tab w:val="left" w:pos="5387"/>
        </w:tabs>
        <w:rPr>
          <w:sz w:val="24"/>
          <w:szCs w:val="24"/>
        </w:rPr>
      </w:pPr>
      <w:r w:rsidRPr="002F03CB">
        <w:rPr>
          <w:sz w:val="24"/>
          <w:szCs w:val="24"/>
        </w:rPr>
        <w:t>Počet monitorovacích vrtů (označených H</w:t>
      </w:r>
      <w:r w:rsidR="00894623">
        <w:rPr>
          <w:sz w:val="24"/>
          <w:szCs w:val="24"/>
        </w:rPr>
        <w:t>G</w:t>
      </w:r>
      <w:r w:rsidRPr="002F03CB">
        <w:rPr>
          <w:sz w:val="24"/>
          <w:szCs w:val="24"/>
        </w:rPr>
        <w:t>)</w:t>
      </w:r>
      <w:r w:rsidRPr="002F03CB">
        <w:rPr>
          <w:sz w:val="24"/>
          <w:szCs w:val="24"/>
        </w:rPr>
        <w:tab/>
      </w:r>
      <w:r w:rsidR="00D27279" w:rsidRPr="002F03CB">
        <w:rPr>
          <w:sz w:val="24"/>
          <w:szCs w:val="24"/>
        </w:rPr>
        <w:t>…</w:t>
      </w:r>
      <w:r w:rsidR="00736ACF">
        <w:rPr>
          <w:sz w:val="24"/>
          <w:szCs w:val="24"/>
        </w:rPr>
        <w:t xml:space="preserve"> </w:t>
      </w:r>
      <w:r w:rsidR="00795FE8" w:rsidRPr="002F03CB">
        <w:rPr>
          <w:sz w:val="24"/>
          <w:szCs w:val="24"/>
        </w:rPr>
        <w:t>7</w:t>
      </w:r>
      <w:r w:rsidR="00D27279" w:rsidRPr="002F03CB">
        <w:rPr>
          <w:sz w:val="24"/>
          <w:szCs w:val="24"/>
        </w:rPr>
        <w:tab/>
        <w:t>celková metráž   …</w:t>
      </w:r>
      <w:r w:rsidRPr="002F03CB">
        <w:rPr>
          <w:sz w:val="24"/>
          <w:szCs w:val="24"/>
        </w:rPr>
        <w:t>1</w:t>
      </w:r>
      <w:r w:rsidR="00BC4FEC">
        <w:rPr>
          <w:sz w:val="24"/>
          <w:szCs w:val="24"/>
        </w:rPr>
        <w:t>34</w:t>
      </w:r>
      <w:r w:rsidR="00D27279" w:rsidRPr="002F03CB">
        <w:rPr>
          <w:sz w:val="24"/>
          <w:szCs w:val="24"/>
        </w:rPr>
        <w:t xml:space="preserve"> m</w:t>
      </w:r>
    </w:p>
    <w:p w14:paraId="40749F54" w14:textId="77777777" w:rsidR="00D27279" w:rsidRPr="002F03CB" w:rsidRDefault="00D27279" w:rsidP="00D27279">
      <w:pPr>
        <w:tabs>
          <w:tab w:val="left" w:pos="5387"/>
        </w:tabs>
        <w:rPr>
          <w:sz w:val="24"/>
          <w:szCs w:val="24"/>
        </w:rPr>
      </w:pPr>
      <w:r w:rsidRPr="002F03CB">
        <w:rPr>
          <w:sz w:val="24"/>
          <w:szCs w:val="24"/>
        </w:rPr>
        <w:t>Počet neporušených vzorků zemin (N)</w:t>
      </w:r>
      <w:r w:rsidRPr="002F03CB">
        <w:rPr>
          <w:sz w:val="24"/>
          <w:szCs w:val="24"/>
        </w:rPr>
        <w:tab/>
        <w:t xml:space="preserve">… </w:t>
      </w:r>
      <w:r w:rsidR="002F03CB" w:rsidRPr="002F03CB">
        <w:rPr>
          <w:sz w:val="24"/>
          <w:szCs w:val="24"/>
        </w:rPr>
        <w:t>7</w:t>
      </w:r>
    </w:p>
    <w:p w14:paraId="55113155" w14:textId="77777777" w:rsidR="00D27279" w:rsidRPr="002F03CB" w:rsidRDefault="00D27279" w:rsidP="00D27279">
      <w:pPr>
        <w:tabs>
          <w:tab w:val="left" w:pos="5387"/>
        </w:tabs>
        <w:rPr>
          <w:sz w:val="24"/>
          <w:szCs w:val="24"/>
        </w:rPr>
      </w:pPr>
      <w:r w:rsidRPr="002F03CB">
        <w:rPr>
          <w:sz w:val="24"/>
          <w:szCs w:val="24"/>
        </w:rPr>
        <w:t>Počet porušených/</w:t>
      </w:r>
      <w:proofErr w:type="spellStart"/>
      <w:r w:rsidRPr="002F03CB">
        <w:rPr>
          <w:sz w:val="24"/>
          <w:szCs w:val="24"/>
        </w:rPr>
        <w:t>poloporušených</w:t>
      </w:r>
      <w:proofErr w:type="spellEnd"/>
      <w:r w:rsidRPr="002F03CB">
        <w:rPr>
          <w:sz w:val="24"/>
          <w:szCs w:val="24"/>
        </w:rPr>
        <w:t xml:space="preserve"> vzorků zemin (P)</w:t>
      </w:r>
      <w:r w:rsidRPr="002F03CB">
        <w:rPr>
          <w:sz w:val="24"/>
          <w:szCs w:val="24"/>
        </w:rPr>
        <w:tab/>
        <w:t xml:space="preserve">… </w:t>
      </w:r>
      <w:r w:rsidR="002F03CB" w:rsidRPr="002F03CB">
        <w:rPr>
          <w:sz w:val="24"/>
          <w:szCs w:val="24"/>
        </w:rPr>
        <w:t>14</w:t>
      </w:r>
    </w:p>
    <w:p w14:paraId="0F9E5F3A" w14:textId="7D939197" w:rsidR="00D27279" w:rsidRPr="002F03CB" w:rsidRDefault="00D27279" w:rsidP="00D27279">
      <w:pPr>
        <w:tabs>
          <w:tab w:val="left" w:pos="5387"/>
        </w:tabs>
        <w:rPr>
          <w:sz w:val="24"/>
          <w:szCs w:val="24"/>
        </w:rPr>
      </w:pPr>
      <w:r w:rsidRPr="002F03CB">
        <w:rPr>
          <w:sz w:val="24"/>
          <w:szCs w:val="24"/>
        </w:rPr>
        <w:t xml:space="preserve">Počet </w:t>
      </w:r>
      <w:r w:rsidR="002F03CB" w:rsidRPr="002F03CB">
        <w:rPr>
          <w:sz w:val="24"/>
          <w:szCs w:val="24"/>
        </w:rPr>
        <w:t>horninov</w:t>
      </w:r>
      <w:r w:rsidRPr="002F03CB">
        <w:rPr>
          <w:sz w:val="24"/>
          <w:szCs w:val="24"/>
        </w:rPr>
        <w:t>ých vzorků (</w:t>
      </w:r>
      <w:r w:rsidR="002F03CB" w:rsidRPr="002F03CB">
        <w:rPr>
          <w:sz w:val="24"/>
          <w:szCs w:val="24"/>
        </w:rPr>
        <w:t>H</w:t>
      </w:r>
      <w:r w:rsidRPr="002F03CB">
        <w:rPr>
          <w:sz w:val="24"/>
          <w:szCs w:val="24"/>
        </w:rPr>
        <w:t>)</w:t>
      </w:r>
      <w:r w:rsidRPr="002F03CB">
        <w:rPr>
          <w:sz w:val="24"/>
          <w:szCs w:val="24"/>
        </w:rPr>
        <w:tab/>
        <w:t xml:space="preserve">… </w:t>
      </w:r>
      <w:r w:rsidR="00D44800">
        <w:rPr>
          <w:sz w:val="24"/>
          <w:szCs w:val="24"/>
        </w:rPr>
        <w:t>14</w:t>
      </w:r>
    </w:p>
    <w:p w14:paraId="49B7E346" w14:textId="77777777" w:rsidR="00D27279" w:rsidRPr="002F03CB" w:rsidRDefault="00D27279" w:rsidP="00D27279">
      <w:pPr>
        <w:tabs>
          <w:tab w:val="left" w:pos="5387"/>
        </w:tabs>
        <w:rPr>
          <w:sz w:val="24"/>
          <w:szCs w:val="24"/>
        </w:rPr>
      </w:pPr>
      <w:r w:rsidRPr="002F03CB">
        <w:rPr>
          <w:sz w:val="24"/>
          <w:szCs w:val="24"/>
        </w:rPr>
        <w:t>Počet vzorků podzemní vody (V)</w:t>
      </w:r>
      <w:r w:rsidRPr="002F03CB">
        <w:rPr>
          <w:sz w:val="24"/>
          <w:szCs w:val="24"/>
        </w:rPr>
        <w:tab/>
        <w:t xml:space="preserve">… </w:t>
      </w:r>
      <w:r w:rsidR="002F03CB" w:rsidRPr="002F03CB">
        <w:rPr>
          <w:sz w:val="24"/>
          <w:szCs w:val="24"/>
        </w:rPr>
        <w:t>7</w:t>
      </w:r>
    </w:p>
    <w:p w14:paraId="6CF22207" w14:textId="216E496D" w:rsidR="0081478D" w:rsidRPr="002F03CB" w:rsidRDefault="000C0AA9" w:rsidP="0081478D">
      <w:r w:rsidRPr="000C0AA9">
        <w:rPr>
          <w:sz w:val="24"/>
          <w:szCs w:val="24"/>
        </w:rPr>
        <w:t>Geofyzikální měření MRS, MEU</w:t>
      </w:r>
      <w:r>
        <w:tab/>
      </w:r>
      <w:r>
        <w:tab/>
      </w:r>
      <w:r>
        <w:tab/>
        <w:t xml:space="preserve">         </w:t>
      </w:r>
      <w:r w:rsidRPr="002F03CB">
        <w:rPr>
          <w:sz w:val="24"/>
          <w:szCs w:val="24"/>
        </w:rPr>
        <w:t>…</w:t>
      </w:r>
      <w:r>
        <w:rPr>
          <w:sz w:val="24"/>
          <w:szCs w:val="24"/>
        </w:rPr>
        <w:t xml:space="preserve"> 1625 m</w:t>
      </w:r>
    </w:p>
    <w:p w14:paraId="2B51B80A" w14:textId="77777777" w:rsidR="00F46CF5" w:rsidRDefault="00F46CF5" w:rsidP="0081478D">
      <w:pPr>
        <w:jc w:val="right"/>
        <w:rPr>
          <w:sz w:val="24"/>
          <w:szCs w:val="24"/>
        </w:rPr>
      </w:pPr>
    </w:p>
    <w:bookmarkEnd w:id="2"/>
    <w:p w14:paraId="790E1BD0" w14:textId="0211FBFF" w:rsidR="00C235D5" w:rsidRDefault="00C235D5">
      <w:pPr>
        <w:rPr>
          <w:sz w:val="24"/>
          <w:szCs w:val="24"/>
        </w:rPr>
      </w:pPr>
    </w:p>
    <w:p w14:paraId="06FD2900" w14:textId="1243258A" w:rsidR="00515C4F" w:rsidRDefault="00515C4F">
      <w:pPr>
        <w:rPr>
          <w:sz w:val="24"/>
          <w:szCs w:val="24"/>
        </w:rPr>
      </w:pPr>
    </w:p>
    <w:p w14:paraId="3503D11C" w14:textId="13D2B3DA" w:rsidR="00515C4F" w:rsidRDefault="00515C4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54A5D95" w14:textId="277DA3EC" w:rsidR="00515C4F" w:rsidRDefault="00515C4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Vypracoval: </w:t>
      </w:r>
      <w:r>
        <w:rPr>
          <w:sz w:val="24"/>
          <w:szCs w:val="24"/>
        </w:rPr>
        <w:tab/>
      </w:r>
      <w:bookmarkStart w:id="45" w:name="_GoBack"/>
      <w:bookmarkEnd w:id="45"/>
      <w:r>
        <w:rPr>
          <w:sz w:val="24"/>
          <w:szCs w:val="24"/>
        </w:rPr>
        <w:t>Mgr. Vít Ambrož</w:t>
      </w:r>
    </w:p>
    <w:p w14:paraId="7F3C6692" w14:textId="2D731F6F" w:rsidR="00515C4F" w:rsidRDefault="00515C4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13.5.2020</w:t>
      </w:r>
      <w:proofErr w:type="gramEnd"/>
    </w:p>
    <w:sectPr w:rsidR="00515C4F" w:rsidSect="00E945B7">
      <w:headerReference w:type="default" r:id="rId10"/>
      <w:footerReference w:type="default" r:id="rId11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45A2E" w14:textId="77777777" w:rsidR="00174DCB" w:rsidRDefault="00174DCB">
      <w:r>
        <w:separator/>
      </w:r>
    </w:p>
  </w:endnote>
  <w:endnote w:type="continuationSeparator" w:id="0">
    <w:p w14:paraId="42533507" w14:textId="77777777" w:rsidR="00174DCB" w:rsidRDefault="0017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445AF" w14:textId="77777777" w:rsidR="00174DCB" w:rsidRDefault="00174DCB">
    <w:pPr>
      <w:pStyle w:val="Zpat"/>
      <w:jc w:val="center"/>
    </w:pPr>
  </w:p>
  <w:sdt>
    <w:sdtPr>
      <w:id w:val="-259833027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F921C79" w14:textId="5AA7F966" w:rsidR="00174DCB" w:rsidRPr="009806AC" w:rsidRDefault="00174DCB">
        <w:pPr>
          <w:pStyle w:val="Zpat"/>
          <w:jc w:val="center"/>
          <w:rPr>
            <w:b/>
            <w:sz w:val="24"/>
            <w:szCs w:val="24"/>
          </w:rPr>
        </w:pPr>
        <w:r w:rsidRPr="009806AC">
          <w:rPr>
            <w:b/>
            <w:sz w:val="24"/>
            <w:szCs w:val="24"/>
          </w:rPr>
          <w:fldChar w:fldCharType="begin"/>
        </w:r>
        <w:r w:rsidRPr="009806AC">
          <w:rPr>
            <w:b/>
            <w:sz w:val="24"/>
            <w:szCs w:val="24"/>
          </w:rPr>
          <w:instrText>PAGE   \* MERGEFORMAT</w:instrText>
        </w:r>
        <w:r w:rsidRPr="009806AC">
          <w:rPr>
            <w:b/>
            <w:sz w:val="24"/>
            <w:szCs w:val="24"/>
          </w:rPr>
          <w:fldChar w:fldCharType="separate"/>
        </w:r>
        <w:r w:rsidR="00515C4F">
          <w:rPr>
            <w:b/>
            <w:noProof/>
            <w:sz w:val="24"/>
            <w:szCs w:val="24"/>
          </w:rPr>
          <w:t>1</w:t>
        </w:r>
        <w:r w:rsidRPr="009806AC">
          <w:rPr>
            <w:b/>
            <w:sz w:val="24"/>
            <w:szCs w:val="24"/>
          </w:rPr>
          <w:fldChar w:fldCharType="end"/>
        </w:r>
      </w:p>
    </w:sdtContent>
  </w:sdt>
  <w:p w14:paraId="435B15E3" w14:textId="77777777" w:rsidR="00174DCB" w:rsidRDefault="00174DCB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16F87" w14:textId="77777777" w:rsidR="00174DCB" w:rsidRDefault="00174DCB">
      <w:r>
        <w:separator/>
      </w:r>
    </w:p>
  </w:footnote>
  <w:footnote w:type="continuationSeparator" w:id="0">
    <w:p w14:paraId="4B185F5C" w14:textId="77777777" w:rsidR="00174DCB" w:rsidRDefault="00174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8EA57" w14:textId="77777777" w:rsidR="00174DCB" w:rsidRDefault="00174DCB" w:rsidP="005364C9">
    <w:pPr>
      <w:pStyle w:val="Zhlav"/>
      <w:jc w:val="center"/>
      <w:rPr>
        <w:noProof/>
      </w:rPr>
    </w:pPr>
    <w:r>
      <w:rPr>
        <w:noProof/>
      </w:rPr>
      <w:tab/>
    </w:r>
    <w:r>
      <w:rPr>
        <w:noProof/>
      </w:rPr>
      <w:tab/>
    </w:r>
  </w:p>
  <w:p w14:paraId="6ED2CD77" w14:textId="0F8D5EA1" w:rsidR="00174DCB" w:rsidRPr="000D47DB" w:rsidRDefault="00F11A42" w:rsidP="005364C9">
    <w:pPr>
      <w:pStyle w:val="Zhlav"/>
      <w:jc w:val="center"/>
      <w:rPr>
        <w:sz w:val="24"/>
        <w:szCs w:val="24"/>
      </w:rPr>
    </w:pPr>
    <w:r>
      <w:rPr>
        <w:rFonts w:cs="Arial"/>
        <w:sz w:val="24"/>
        <w:szCs w:val="24"/>
      </w:rPr>
      <w:t>Hydrogeologický m</w:t>
    </w:r>
    <w:r w:rsidR="00174DCB">
      <w:rPr>
        <w:rFonts w:cs="Arial"/>
        <w:sz w:val="24"/>
        <w:szCs w:val="24"/>
      </w:rPr>
      <w:t>onitoring a ověření starých důlních děl</w:t>
    </w:r>
  </w:p>
  <w:p w14:paraId="28214179" w14:textId="77777777" w:rsidR="00174DCB" w:rsidRPr="005364C9" w:rsidRDefault="00174DCB" w:rsidP="0093338E">
    <w:pPr>
      <w:pStyle w:val="Nadpis1"/>
      <w:pBdr>
        <w:bottom w:val="single" w:sz="6" w:space="1" w:color="auto"/>
      </w:pBdr>
      <w:ind w:left="708" w:hanging="708"/>
      <w:rPr>
        <w:rFonts w:ascii="Swis721 BlkEx BT" w:hAnsi="Swis721 BlkEx BT"/>
        <w:sz w:val="20"/>
      </w:rPr>
    </w:pPr>
    <w:r w:rsidRPr="005364C9">
      <w:rPr>
        <w:sz w:val="20"/>
      </w:rPr>
      <w:t xml:space="preserve">                                       </w:t>
    </w:r>
    <w:r w:rsidRPr="005364C9"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F46"/>
    <w:multiLevelType w:val="multilevel"/>
    <w:tmpl w:val="86A29E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42000D8"/>
    <w:multiLevelType w:val="multilevel"/>
    <w:tmpl w:val="94843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41B13"/>
    <w:multiLevelType w:val="hybridMultilevel"/>
    <w:tmpl w:val="A7C26E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6710F3"/>
    <w:multiLevelType w:val="hybridMultilevel"/>
    <w:tmpl w:val="B7B2AD6E"/>
    <w:lvl w:ilvl="0" w:tplc="EC6692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A2B15"/>
    <w:multiLevelType w:val="hybridMultilevel"/>
    <w:tmpl w:val="01BCDD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D4AFA"/>
    <w:multiLevelType w:val="hybridMultilevel"/>
    <w:tmpl w:val="3F5E59D8"/>
    <w:lvl w:ilvl="0" w:tplc="040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6" w15:restartNumberingAfterBreak="0">
    <w:nsid w:val="1AF84AA5"/>
    <w:multiLevelType w:val="hybridMultilevel"/>
    <w:tmpl w:val="595216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FE284E"/>
    <w:multiLevelType w:val="hybridMultilevel"/>
    <w:tmpl w:val="8F7040F6"/>
    <w:lvl w:ilvl="0" w:tplc="F4D6682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F4267FC"/>
    <w:multiLevelType w:val="hybridMultilevel"/>
    <w:tmpl w:val="E43093D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210C9"/>
    <w:multiLevelType w:val="hybridMultilevel"/>
    <w:tmpl w:val="CE1CB36E"/>
    <w:lvl w:ilvl="0" w:tplc="FDBA728A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 w:tplc="2980579E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712188"/>
    <w:multiLevelType w:val="multilevel"/>
    <w:tmpl w:val="2124D0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6D873E3"/>
    <w:multiLevelType w:val="hybridMultilevel"/>
    <w:tmpl w:val="1CCC058E"/>
    <w:lvl w:ilvl="0" w:tplc="D2CEA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7A154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0862AC"/>
    <w:multiLevelType w:val="hybridMultilevel"/>
    <w:tmpl w:val="F1EEEB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34121"/>
    <w:multiLevelType w:val="hybridMultilevel"/>
    <w:tmpl w:val="D3F864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D8AC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3166E1"/>
    <w:multiLevelType w:val="hybridMultilevel"/>
    <w:tmpl w:val="94843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F6253"/>
    <w:multiLevelType w:val="hybridMultilevel"/>
    <w:tmpl w:val="92AE8D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DB78FE"/>
    <w:multiLevelType w:val="hybridMultilevel"/>
    <w:tmpl w:val="6B8A1A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D1CD9"/>
    <w:multiLevelType w:val="hybridMultilevel"/>
    <w:tmpl w:val="F4200E0A"/>
    <w:lvl w:ilvl="0" w:tplc="6362255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32FC2B01"/>
    <w:multiLevelType w:val="hybridMultilevel"/>
    <w:tmpl w:val="06EE3C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7F2E07"/>
    <w:multiLevelType w:val="hybridMultilevel"/>
    <w:tmpl w:val="91FAA1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422E0D"/>
    <w:multiLevelType w:val="hybridMultilevel"/>
    <w:tmpl w:val="0D12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0F7689"/>
    <w:multiLevelType w:val="hybridMultilevel"/>
    <w:tmpl w:val="6414C9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122DE1"/>
    <w:multiLevelType w:val="hybridMultilevel"/>
    <w:tmpl w:val="7E24C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F58B3"/>
    <w:multiLevelType w:val="hybridMultilevel"/>
    <w:tmpl w:val="2B3E49D0"/>
    <w:lvl w:ilvl="0" w:tplc="0405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5C12180"/>
    <w:multiLevelType w:val="hybridMultilevel"/>
    <w:tmpl w:val="6054F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56A47"/>
    <w:multiLevelType w:val="multilevel"/>
    <w:tmpl w:val="FB14DAB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FBE478B"/>
    <w:multiLevelType w:val="hybridMultilevel"/>
    <w:tmpl w:val="B0066D1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64782C69"/>
    <w:multiLevelType w:val="multilevel"/>
    <w:tmpl w:val="D4F2C876"/>
    <w:lvl w:ilvl="0">
      <w:start w:val="1"/>
      <w:numFmt w:val="decimal"/>
      <w:pStyle w:val="DANAslovannadpis1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DANAslovannadpis2"/>
      <w:lvlText w:val="%1.%2"/>
      <w:lvlJc w:val="left"/>
      <w:pPr>
        <w:tabs>
          <w:tab w:val="num" w:pos="9566"/>
        </w:tabs>
        <w:ind w:left="9566" w:hanging="494"/>
      </w:pPr>
      <w:rPr>
        <w:rFonts w:hint="default"/>
      </w:rPr>
    </w:lvl>
    <w:lvl w:ilvl="2">
      <w:start w:val="1"/>
      <w:numFmt w:val="decimal"/>
      <w:pStyle w:val="DANAslovannadpis3"/>
      <w:lvlText w:val="%1.%2.%3"/>
      <w:lvlJc w:val="left"/>
      <w:pPr>
        <w:tabs>
          <w:tab w:val="num" w:pos="1644"/>
        </w:tabs>
        <w:ind w:left="164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44"/>
        </w:tabs>
        <w:ind w:left="1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22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84"/>
        </w:tabs>
        <w:ind w:left="27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04"/>
        </w:tabs>
        <w:ind w:left="32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24"/>
        </w:tabs>
        <w:ind w:left="37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44"/>
        </w:tabs>
        <w:ind w:left="4344" w:hanging="1440"/>
      </w:pPr>
      <w:rPr>
        <w:rFonts w:hint="default"/>
      </w:rPr>
    </w:lvl>
  </w:abstractNum>
  <w:abstractNum w:abstractNumId="28" w15:restartNumberingAfterBreak="0">
    <w:nsid w:val="6B880534"/>
    <w:multiLevelType w:val="singleLevel"/>
    <w:tmpl w:val="A1AAA7F2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FB420C1"/>
    <w:multiLevelType w:val="hybridMultilevel"/>
    <w:tmpl w:val="34700C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800849"/>
    <w:multiLevelType w:val="multilevel"/>
    <w:tmpl w:val="096E1B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7A403593"/>
    <w:multiLevelType w:val="hybridMultilevel"/>
    <w:tmpl w:val="A6D6F2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C93983"/>
    <w:multiLevelType w:val="hybridMultilevel"/>
    <w:tmpl w:val="A8425A6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F35C4C"/>
    <w:multiLevelType w:val="hybridMultilevel"/>
    <w:tmpl w:val="4E44E078"/>
    <w:lvl w:ilvl="0" w:tplc="EE002EF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961CE"/>
    <w:multiLevelType w:val="multilevel"/>
    <w:tmpl w:val="1C4C0C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1"/>
  </w:num>
  <w:num w:numId="3">
    <w:abstractNumId w:val="20"/>
  </w:num>
  <w:num w:numId="4">
    <w:abstractNumId w:val="2"/>
  </w:num>
  <w:num w:numId="5">
    <w:abstractNumId w:val="13"/>
  </w:num>
  <w:num w:numId="6">
    <w:abstractNumId w:val="29"/>
  </w:num>
  <w:num w:numId="7">
    <w:abstractNumId w:val="19"/>
  </w:num>
  <w:num w:numId="8">
    <w:abstractNumId w:val="15"/>
  </w:num>
  <w:num w:numId="9">
    <w:abstractNumId w:val="31"/>
  </w:num>
  <w:num w:numId="10">
    <w:abstractNumId w:val="11"/>
  </w:num>
  <w:num w:numId="11">
    <w:abstractNumId w:val="5"/>
  </w:num>
  <w:num w:numId="12">
    <w:abstractNumId w:val="33"/>
  </w:num>
  <w:num w:numId="13">
    <w:abstractNumId w:val="2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7"/>
  </w:num>
  <w:num w:numId="18">
    <w:abstractNumId w:val="7"/>
  </w:num>
  <w:num w:numId="19">
    <w:abstractNumId w:val="22"/>
  </w:num>
  <w:num w:numId="20">
    <w:abstractNumId w:val="34"/>
  </w:num>
  <w:num w:numId="21">
    <w:abstractNumId w:val="12"/>
  </w:num>
  <w:num w:numId="22">
    <w:abstractNumId w:val="10"/>
  </w:num>
  <w:num w:numId="23">
    <w:abstractNumId w:val="0"/>
  </w:num>
  <w:num w:numId="24">
    <w:abstractNumId w:val="30"/>
  </w:num>
  <w:num w:numId="25">
    <w:abstractNumId w:val="26"/>
  </w:num>
  <w:num w:numId="26">
    <w:abstractNumId w:val="4"/>
  </w:num>
  <w:num w:numId="27">
    <w:abstractNumId w:val="8"/>
  </w:num>
  <w:num w:numId="28">
    <w:abstractNumId w:val="16"/>
  </w:num>
  <w:num w:numId="29">
    <w:abstractNumId w:val="14"/>
  </w:num>
  <w:num w:numId="30">
    <w:abstractNumId w:val="1"/>
  </w:num>
  <w:num w:numId="31">
    <w:abstractNumId w:val="24"/>
  </w:num>
  <w:num w:numId="32">
    <w:abstractNumId w:val="27"/>
  </w:num>
  <w:num w:numId="33">
    <w:abstractNumId w:val="25"/>
  </w:num>
  <w:num w:numId="34">
    <w:abstractNumId w:val="32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8E"/>
    <w:rsid w:val="00000F72"/>
    <w:rsid w:val="00001CB9"/>
    <w:rsid w:val="00001F70"/>
    <w:rsid w:val="0000265F"/>
    <w:rsid w:val="000031DF"/>
    <w:rsid w:val="0000369E"/>
    <w:rsid w:val="0000435C"/>
    <w:rsid w:val="0000657F"/>
    <w:rsid w:val="00007723"/>
    <w:rsid w:val="00010602"/>
    <w:rsid w:val="00011E71"/>
    <w:rsid w:val="000155AA"/>
    <w:rsid w:val="00015998"/>
    <w:rsid w:val="00020819"/>
    <w:rsid w:val="000314B3"/>
    <w:rsid w:val="00032BEF"/>
    <w:rsid w:val="00034B3C"/>
    <w:rsid w:val="000353CE"/>
    <w:rsid w:val="00037147"/>
    <w:rsid w:val="00043732"/>
    <w:rsid w:val="0004436A"/>
    <w:rsid w:val="00044F18"/>
    <w:rsid w:val="0004682D"/>
    <w:rsid w:val="00050BA9"/>
    <w:rsid w:val="00053AFF"/>
    <w:rsid w:val="000549D0"/>
    <w:rsid w:val="000557F1"/>
    <w:rsid w:val="0005612D"/>
    <w:rsid w:val="000567BA"/>
    <w:rsid w:val="00057395"/>
    <w:rsid w:val="00060512"/>
    <w:rsid w:val="00060A42"/>
    <w:rsid w:val="0006565B"/>
    <w:rsid w:val="00066AAD"/>
    <w:rsid w:val="00072EC5"/>
    <w:rsid w:val="000769B3"/>
    <w:rsid w:val="00081D11"/>
    <w:rsid w:val="000820A3"/>
    <w:rsid w:val="0008293D"/>
    <w:rsid w:val="0009323E"/>
    <w:rsid w:val="000942AA"/>
    <w:rsid w:val="00095067"/>
    <w:rsid w:val="00095750"/>
    <w:rsid w:val="000A1178"/>
    <w:rsid w:val="000A7CA2"/>
    <w:rsid w:val="000B6834"/>
    <w:rsid w:val="000B69D5"/>
    <w:rsid w:val="000B6B1C"/>
    <w:rsid w:val="000B7AE3"/>
    <w:rsid w:val="000C0AA9"/>
    <w:rsid w:val="000C39A0"/>
    <w:rsid w:val="000C4617"/>
    <w:rsid w:val="000D15F5"/>
    <w:rsid w:val="000D2D18"/>
    <w:rsid w:val="000D47DB"/>
    <w:rsid w:val="000D4DB7"/>
    <w:rsid w:val="000D523C"/>
    <w:rsid w:val="000E5701"/>
    <w:rsid w:val="000E6550"/>
    <w:rsid w:val="000F010A"/>
    <w:rsid w:val="000F3641"/>
    <w:rsid w:val="000F4876"/>
    <w:rsid w:val="000F725B"/>
    <w:rsid w:val="00101E41"/>
    <w:rsid w:val="00102B74"/>
    <w:rsid w:val="001042C3"/>
    <w:rsid w:val="00104F9F"/>
    <w:rsid w:val="001118AA"/>
    <w:rsid w:val="00114BF5"/>
    <w:rsid w:val="001161F3"/>
    <w:rsid w:val="00117D87"/>
    <w:rsid w:val="00120314"/>
    <w:rsid w:val="00122BC0"/>
    <w:rsid w:val="001334F1"/>
    <w:rsid w:val="00135DCA"/>
    <w:rsid w:val="001361AA"/>
    <w:rsid w:val="00136418"/>
    <w:rsid w:val="001375D8"/>
    <w:rsid w:val="001400E9"/>
    <w:rsid w:val="00140C2F"/>
    <w:rsid w:val="00141400"/>
    <w:rsid w:val="00150196"/>
    <w:rsid w:val="001547D2"/>
    <w:rsid w:val="0016038F"/>
    <w:rsid w:val="001606AA"/>
    <w:rsid w:val="0016200E"/>
    <w:rsid w:val="00165F3C"/>
    <w:rsid w:val="00166B35"/>
    <w:rsid w:val="00170CB5"/>
    <w:rsid w:val="001734C2"/>
    <w:rsid w:val="00174DCB"/>
    <w:rsid w:val="00177345"/>
    <w:rsid w:val="00182A56"/>
    <w:rsid w:val="001851D4"/>
    <w:rsid w:val="00187F52"/>
    <w:rsid w:val="00190C18"/>
    <w:rsid w:val="00191FE1"/>
    <w:rsid w:val="001927AE"/>
    <w:rsid w:val="001944D0"/>
    <w:rsid w:val="00196697"/>
    <w:rsid w:val="001A589C"/>
    <w:rsid w:val="001B14D2"/>
    <w:rsid w:val="001B422C"/>
    <w:rsid w:val="001B5BF5"/>
    <w:rsid w:val="001B6828"/>
    <w:rsid w:val="001B6FB0"/>
    <w:rsid w:val="001C2BAB"/>
    <w:rsid w:val="001C5B50"/>
    <w:rsid w:val="001C6715"/>
    <w:rsid w:val="001C7547"/>
    <w:rsid w:val="001D23ED"/>
    <w:rsid w:val="001D7477"/>
    <w:rsid w:val="001D7836"/>
    <w:rsid w:val="001E033F"/>
    <w:rsid w:val="001E2453"/>
    <w:rsid w:val="001E3839"/>
    <w:rsid w:val="001E58C1"/>
    <w:rsid w:val="001F2466"/>
    <w:rsid w:val="001F78BE"/>
    <w:rsid w:val="002037EC"/>
    <w:rsid w:val="00211D8E"/>
    <w:rsid w:val="002136F0"/>
    <w:rsid w:val="0021518F"/>
    <w:rsid w:val="00216B38"/>
    <w:rsid w:val="002251B7"/>
    <w:rsid w:val="0022737B"/>
    <w:rsid w:val="00232C0E"/>
    <w:rsid w:val="002345FE"/>
    <w:rsid w:val="00235EC2"/>
    <w:rsid w:val="00240404"/>
    <w:rsid w:val="00240FE2"/>
    <w:rsid w:val="0024114E"/>
    <w:rsid w:val="00242118"/>
    <w:rsid w:val="00242895"/>
    <w:rsid w:val="00243864"/>
    <w:rsid w:val="0024467B"/>
    <w:rsid w:val="002449CE"/>
    <w:rsid w:val="00245ADD"/>
    <w:rsid w:val="00245D69"/>
    <w:rsid w:val="002505AF"/>
    <w:rsid w:val="002548DF"/>
    <w:rsid w:val="00254BF9"/>
    <w:rsid w:val="00256B2A"/>
    <w:rsid w:val="002601DE"/>
    <w:rsid w:val="00262F39"/>
    <w:rsid w:val="00263844"/>
    <w:rsid w:val="002641C5"/>
    <w:rsid w:val="002645C9"/>
    <w:rsid w:val="002659D1"/>
    <w:rsid w:val="00265B7B"/>
    <w:rsid w:val="00270DEB"/>
    <w:rsid w:val="00271110"/>
    <w:rsid w:val="00271F54"/>
    <w:rsid w:val="00272C88"/>
    <w:rsid w:val="00276588"/>
    <w:rsid w:val="00285B02"/>
    <w:rsid w:val="00286C0C"/>
    <w:rsid w:val="00294187"/>
    <w:rsid w:val="002955F0"/>
    <w:rsid w:val="002A1116"/>
    <w:rsid w:val="002A1D79"/>
    <w:rsid w:val="002A4BE5"/>
    <w:rsid w:val="002A4D2A"/>
    <w:rsid w:val="002A7D4E"/>
    <w:rsid w:val="002B273C"/>
    <w:rsid w:val="002B2ED3"/>
    <w:rsid w:val="002B5850"/>
    <w:rsid w:val="002B795F"/>
    <w:rsid w:val="002C4E1B"/>
    <w:rsid w:val="002D1382"/>
    <w:rsid w:val="002E336F"/>
    <w:rsid w:val="002F03CB"/>
    <w:rsid w:val="002F16D0"/>
    <w:rsid w:val="002F4E26"/>
    <w:rsid w:val="002F6436"/>
    <w:rsid w:val="002F7461"/>
    <w:rsid w:val="00301C4D"/>
    <w:rsid w:val="00301D7E"/>
    <w:rsid w:val="003026BF"/>
    <w:rsid w:val="00304216"/>
    <w:rsid w:val="00306101"/>
    <w:rsid w:val="00307F14"/>
    <w:rsid w:val="0031033D"/>
    <w:rsid w:val="00311BBD"/>
    <w:rsid w:val="00312FF5"/>
    <w:rsid w:val="00313530"/>
    <w:rsid w:val="00313C88"/>
    <w:rsid w:val="0031433F"/>
    <w:rsid w:val="00314479"/>
    <w:rsid w:val="003166D4"/>
    <w:rsid w:val="00317009"/>
    <w:rsid w:val="003271A1"/>
    <w:rsid w:val="00327F28"/>
    <w:rsid w:val="00330E80"/>
    <w:rsid w:val="003315D7"/>
    <w:rsid w:val="00331E95"/>
    <w:rsid w:val="00333886"/>
    <w:rsid w:val="00334E5C"/>
    <w:rsid w:val="00334FAA"/>
    <w:rsid w:val="00336F41"/>
    <w:rsid w:val="00342E5F"/>
    <w:rsid w:val="00343267"/>
    <w:rsid w:val="00343D00"/>
    <w:rsid w:val="0034408E"/>
    <w:rsid w:val="00345977"/>
    <w:rsid w:val="0034692B"/>
    <w:rsid w:val="0035687F"/>
    <w:rsid w:val="00356D0D"/>
    <w:rsid w:val="00360566"/>
    <w:rsid w:val="00360D1B"/>
    <w:rsid w:val="003621B4"/>
    <w:rsid w:val="00365A94"/>
    <w:rsid w:val="00367A8F"/>
    <w:rsid w:val="00367CF5"/>
    <w:rsid w:val="00370340"/>
    <w:rsid w:val="00375A01"/>
    <w:rsid w:val="00375DB7"/>
    <w:rsid w:val="00383FE5"/>
    <w:rsid w:val="00391009"/>
    <w:rsid w:val="00391F6E"/>
    <w:rsid w:val="00392727"/>
    <w:rsid w:val="00395897"/>
    <w:rsid w:val="003A1AE3"/>
    <w:rsid w:val="003A1CF1"/>
    <w:rsid w:val="003A26F9"/>
    <w:rsid w:val="003A4E3E"/>
    <w:rsid w:val="003A54BC"/>
    <w:rsid w:val="003B3B83"/>
    <w:rsid w:val="003B6506"/>
    <w:rsid w:val="003B6884"/>
    <w:rsid w:val="003C051D"/>
    <w:rsid w:val="003C5109"/>
    <w:rsid w:val="003C68DD"/>
    <w:rsid w:val="003D0C23"/>
    <w:rsid w:val="003D20A7"/>
    <w:rsid w:val="003D39E6"/>
    <w:rsid w:val="003D6512"/>
    <w:rsid w:val="003E003C"/>
    <w:rsid w:val="003E2EFE"/>
    <w:rsid w:val="003F0A1C"/>
    <w:rsid w:val="003F1F1C"/>
    <w:rsid w:val="003F29DC"/>
    <w:rsid w:val="003F499F"/>
    <w:rsid w:val="003F5578"/>
    <w:rsid w:val="0040156A"/>
    <w:rsid w:val="004031D1"/>
    <w:rsid w:val="0041135D"/>
    <w:rsid w:val="00412072"/>
    <w:rsid w:val="0041330F"/>
    <w:rsid w:val="0041391C"/>
    <w:rsid w:val="00415E4B"/>
    <w:rsid w:val="0041612D"/>
    <w:rsid w:val="00417F7F"/>
    <w:rsid w:val="00420B22"/>
    <w:rsid w:val="0042296B"/>
    <w:rsid w:val="00423C87"/>
    <w:rsid w:val="004262D0"/>
    <w:rsid w:val="00434E20"/>
    <w:rsid w:val="0044046A"/>
    <w:rsid w:val="004410C9"/>
    <w:rsid w:val="00443798"/>
    <w:rsid w:val="004456BD"/>
    <w:rsid w:val="00451E60"/>
    <w:rsid w:val="004522EC"/>
    <w:rsid w:val="00452A56"/>
    <w:rsid w:val="004643D0"/>
    <w:rsid w:val="00465E03"/>
    <w:rsid w:val="00466713"/>
    <w:rsid w:val="004703DF"/>
    <w:rsid w:val="004714AB"/>
    <w:rsid w:val="004718B8"/>
    <w:rsid w:val="00471A72"/>
    <w:rsid w:val="00477015"/>
    <w:rsid w:val="00480587"/>
    <w:rsid w:val="0048296E"/>
    <w:rsid w:val="004915DE"/>
    <w:rsid w:val="00491B76"/>
    <w:rsid w:val="00492125"/>
    <w:rsid w:val="00495309"/>
    <w:rsid w:val="004961D6"/>
    <w:rsid w:val="004A277C"/>
    <w:rsid w:val="004A42D8"/>
    <w:rsid w:val="004A4401"/>
    <w:rsid w:val="004A630D"/>
    <w:rsid w:val="004B056E"/>
    <w:rsid w:val="004B05A9"/>
    <w:rsid w:val="004B3394"/>
    <w:rsid w:val="004B5077"/>
    <w:rsid w:val="004B6E7B"/>
    <w:rsid w:val="004B7DA9"/>
    <w:rsid w:val="004C6462"/>
    <w:rsid w:val="004C7086"/>
    <w:rsid w:val="004D0B17"/>
    <w:rsid w:val="004D21F5"/>
    <w:rsid w:val="004D3A1E"/>
    <w:rsid w:val="004E2958"/>
    <w:rsid w:val="004E2C92"/>
    <w:rsid w:val="004E39F4"/>
    <w:rsid w:val="004F01A2"/>
    <w:rsid w:val="004F291F"/>
    <w:rsid w:val="004F35E1"/>
    <w:rsid w:val="00501B95"/>
    <w:rsid w:val="00503D63"/>
    <w:rsid w:val="00504E05"/>
    <w:rsid w:val="00504FE6"/>
    <w:rsid w:val="005055C1"/>
    <w:rsid w:val="00511643"/>
    <w:rsid w:val="00511817"/>
    <w:rsid w:val="005119D3"/>
    <w:rsid w:val="00512430"/>
    <w:rsid w:val="00512A0C"/>
    <w:rsid w:val="00513854"/>
    <w:rsid w:val="0051477B"/>
    <w:rsid w:val="00515C4F"/>
    <w:rsid w:val="0052098D"/>
    <w:rsid w:val="0052224C"/>
    <w:rsid w:val="00525640"/>
    <w:rsid w:val="00525DB2"/>
    <w:rsid w:val="00525E33"/>
    <w:rsid w:val="00526B7B"/>
    <w:rsid w:val="00530058"/>
    <w:rsid w:val="00530091"/>
    <w:rsid w:val="0053167D"/>
    <w:rsid w:val="00532C78"/>
    <w:rsid w:val="00532DBD"/>
    <w:rsid w:val="00533AA3"/>
    <w:rsid w:val="005362D1"/>
    <w:rsid w:val="005364C9"/>
    <w:rsid w:val="005367E4"/>
    <w:rsid w:val="00537D83"/>
    <w:rsid w:val="0054146E"/>
    <w:rsid w:val="00542D2E"/>
    <w:rsid w:val="00544A65"/>
    <w:rsid w:val="00544E3E"/>
    <w:rsid w:val="00550972"/>
    <w:rsid w:val="00551CFE"/>
    <w:rsid w:val="005525E5"/>
    <w:rsid w:val="00563A87"/>
    <w:rsid w:val="00564963"/>
    <w:rsid w:val="00570E06"/>
    <w:rsid w:val="00572D0F"/>
    <w:rsid w:val="005751EB"/>
    <w:rsid w:val="0057599B"/>
    <w:rsid w:val="005762AD"/>
    <w:rsid w:val="00582C13"/>
    <w:rsid w:val="0058386C"/>
    <w:rsid w:val="00585FD6"/>
    <w:rsid w:val="005871FF"/>
    <w:rsid w:val="00597311"/>
    <w:rsid w:val="005A0F97"/>
    <w:rsid w:val="005A1F27"/>
    <w:rsid w:val="005A580F"/>
    <w:rsid w:val="005A75A6"/>
    <w:rsid w:val="005B28C0"/>
    <w:rsid w:val="005B3314"/>
    <w:rsid w:val="005B7E62"/>
    <w:rsid w:val="005C2A71"/>
    <w:rsid w:val="005D15BC"/>
    <w:rsid w:val="005D1B88"/>
    <w:rsid w:val="005D59B0"/>
    <w:rsid w:val="005D63A2"/>
    <w:rsid w:val="005E0B1C"/>
    <w:rsid w:val="005E66D0"/>
    <w:rsid w:val="005F00D8"/>
    <w:rsid w:val="005F0F4A"/>
    <w:rsid w:val="005F1D98"/>
    <w:rsid w:val="005F286C"/>
    <w:rsid w:val="005F4445"/>
    <w:rsid w:val="005F4C9F"/>
    <w:rsid w:val="005F604F"/>
    <w:rsid w:val="005F7E33"/>
    <w:rsid w:val="006007E2"/>
    <w:rsid w:val="00606AE7"/>
    <w:rsid w:val="00610E31"/>
    <w:rsid w:val="00611483"/>
    <w:rsid w:val="00612822"/>
    <w:rsid w:val="0061509D"/>
    <w:rsid w:val="00617207"/>
    <w:rsid w:val="006220D6"/>
    <w:rsid w:val="00622721"/>
    <w:rsid w:val="006233BD"/>
    <w:rsid w:val="006246A3"/>
    <w:rsid w:val="00624F61"/>
    <w:rsid w:val="00626EDB"/>
    <w:rsid w:val="00632EC7"/>
    <w:rsid w:val="0063362B"/>
    <w:rsid w:val="00633A95"/>
    <w:rsid w:val="00634C32"/>
    <w:rsid w:val="00636658"/>
    <w:rsid w:val="0064075A"/>
    <w:rsid w:val="006414F7"/>
    <w:rsid w:val="00641DC3"/>
    <w:rsid w:val="00644601"/>
    <w:rsid w:val="00645DCE"/>
    <w:rsid w:val="00646A52"/>
    <w:rsid w:val="00652060"/>
    <w:rsid w:val="00652365"/>
    <w:rsid w:val="00655A7C"/>
    <w:rsid w:val="006563A1"/>
    <w:rsid w:val="00662A67"/>
    <w:rsid w:val="006635B3"/>
    <w:rsid w:val="00667DB5"/>
    <w:rsid w:val="00671102"/>
    <w:rsid w:val="0067117C"/>
    <w:rsid w:val="006712C7"/>
    <w:rsid w:val="0067222F"/>
    <w:rsid w:val="00674792"/>
    <w:rsid w:val="006812B1"/>
    <w:rsid w:val="00681CF8"/>
    <w:rsid w:val="00683511"/>
    <w:rsid w:val="00692A09"/>
    <w:rsid w:val="00694440"/>
    <w:rsid w:val="00697AE3"/>
    <w:rsid w:val="006A17E5"/>
    <w:rsid w:val="006A43FF"/>
    <w:rsid w:val="006A47FF"/>
    <w:rsid w:val="006A60C6"/>
    <w:rsid w:val="006B19D1"/>
    <w:rsid w:val="006B1E66"/>
    <w:rsid w:val="006B218A"/>
    <w:rsid w:val="006B3131"/>
    <w:rsid w:val="006B339E"/>
    <w:rsid w:val="006B625C"/>
    <w:rsid w:val="006B75C8"/>
    <w:rsid w:val="006D13B8"/>
    <w:rsid w:val="006D206A"/>
    <w:rsid w:val="006D3BD0"/>
    <w:rsid w:val="006D6C29"/>
    <w:rsid w:val="006E2DF9"/>
    <w:rsid w:val="006E336C"/>
    <w:rsid w:val="006E703C"/>
    <w:rsid w:val="006E73BC"/>
    <w:rsid w:val="006F5BA8"/>
    <w:rsid w:val="006F6D94"/>
    <w:rsid w:val="007002FF"/>
    <w:rsid w:val="00703B20"/>
    <w:rsid w:val="0071168B"/>
    <w:rsid w:val="00711DA2"/>
    <w:rsid w:val="00712CF6"/>
    <w:rsid w:val="00716D27"/>
    <w:rsid w:val="00717DF0"/>
    <w:rsid w:val="00722AA0"/>
    <w:rsid w:val="00724155"/>
    <w:rsid w:val="0072419A"/>
    <w:rsid w:val="007302FD"/>
    <w:rsid w:val="0073453B"/>
    <w:rsid w:val="00735EFA"/>
    <w:rsid w:val="00736362"/>
    <w:rsid w:val="00736ACF"/>
    <w:rsid w:val="00740062"/>
    <w:rsid w:val="00747FCA"/>
    <w:rsid w:val="0075182A"/>
    <w:rsid w:val="00751B67"/>
    <w:rsid w:val="0075397A"/>
    <w:rsid w:val="00757269"/>
    <w:rsid w:val="00762871"/>
    <w:rsid w:val="007649AB"/>
    <w:rsid w:val="0076725D"/>
    <w:rsid w:val="00773EE8"/>
    <w:rsid w:val="00775676"/>
    <w:rsid w:val="00776120"/>
    <w:rsid w:val="00786679"/>
    <w:rsid w:val="00786F70"/>
    <w:rsid w:val="00792A6C"/>
    <w:rsid w:val="00793C88"/>
    <w:rsid w:val="00794229"/>
    <w:rsid w:val="00795FE8"/>
    <w:rsid w:val="00796C39"/>
    <w:rsid w:val="007A2DE4"/>
    <w:rsid w:val="007A6418"/>
    <w:rsid w:val="007A761D"/>
    <w:rsid w:val="007B3DEC"/>
    <w:rsid w:val="007B60DA"/>
    <w:rsid w:val="007B7E84"/>
    <w:rsid w:val="007B7EB4"/>
    <w:rsid w:val="007C1CAD"/>
    <w:rsid w:val="007C1F79"/>
    <w:rsid w:val="007C62F6"/>
    <w:rsid w:val="007C7059"/>
    <w:rsid w:val="007D1092"/>
    <w:rsid w:val="007D1FA8"/>
    <w:rsid w:val="007D49C3"/>
    <w:rsid w:val="007D4E04"/>
    <w:rsid w:val="007D5879"/>
    <w:rsid w:val="007D7855"/>
    <w:rsid w:val="007E66FC"/>
    <w:rsid w:val="007E7882"/>
    <w:rsid w:val="007F3F7D"/>
    <w:rsid w:val="007F46E6"/>
    <w:rsid w:val="007F5F8A"/>
    <w:rsid w:val="008027C1"/>
    <w:rsid w:val="008040FB"/>
    <w:rsid w:val="00804281"/>
    <w:rsid w:val="00805D5B"/>
    <w:rsid w:val="00806103"/>
    <w:rsid w:val="008120D3"/>
    <w:rsid w:val="00814058"/>
    <w:rsid w:val="0081478D"/>
    <w:rsid w:val="008174E2"/>
    <w:rsid w:val="00820C7D"/>
    <w:rsid w:val="00823527"/>
    <w:rsid w:val="00824861"/>
    <w:rsid w:val="0082770A"/>
    <w:rsid w:val="008278AC"/>
    <w:rsid w:val="00827A7F"/>
    <w:rsid w:val="00832F8A"/>
    <w:rsid w:val="008336FA"/>
    <w:rsid w:val="00834BC4"/>
    <w:rsid w:val="00837B14"/>
    <w:rsid w:val="00840588"/>
    <w:rsid w:val="00851376"/>
    <w:rsid w:val="0085142F"/>
    <w:rsid w:val="0085664D"/>
    <w:rsid w:val="00857A9F"/>
    <w:rsid w:val="00857D84"/>
    <w:rsid w:val="0086014F"/>
    <w:rsid w:val="00860E99"/>
    <w:rsid w:val="00866730"/>
    <w:rsid w:val="00874FC8"/>
    <w:rsid w:val="008766A5"/>
    <w:rsid w:val="00876F94"/>
    <w:rsid w:val="00877BFF"/>
    <w:rsid w:val="00877E34"/>
    <w:rsid w:val="00880340"/>
    <w:rsid w:val="0088098B"/>
    <w:rsid w:val="0088342F"/>
    <w:rsid w:val="00884305"/>
    <w:rsid w:val="00886BF5"/>
    <w:rsid w:val="00890DA4"/>
    <w:rsid w:val="00891DEF"/>
    <w:rsid w:val="00893A79"/>
    <w:rsid w:val="00894623"/>
    <w:rsid w:val="00895C69"/>
    <w:rsid w:val="00897700"/>
    <w:rsid w:val="008A2AC1"/>
    <w:rsid w:val="008A2EF4"/>
    <w:rsid w:val="008A3A6E"/>
    <w:rsid w:val="008B4B17"/>
    <w:rsid w:val="008B77F6"/>
    <w:rsid w:val="008C3378"/>
    <w:rsid w:val="008C44FC"/>
    <w:rsid w:val="008C4C58"/>
    <w:rsid w:val="008D26C4"/>
    <w:rsid w:val="008D492A"/>
    <w:rsid w:val="008D780A"/>
    <w:rsid w:val="008E01D6"/>
    <w:rsid w:val="008E318F"/>
    <w:rsid w:val="008E6FAB"/>
    <w:rsid w:val="008E77CA"/>
    <w:rsid w:val="009042E3"/>
    <w:rsid w:val="00904B58"/>
    <w:rsid w:val="00911836"/>
    <w:rsid w:val="00911AC8"/>
    <w:rsid w:val="00915044"/>
    <w:rsid w:val="0092024D"/>
    <w:rsid w:val="00923A3E"/>
    <w:rsid w:val="0093241F"/>
    <w:rsid w:val="0093338E"/>
    <w:rsid w:val="00942C92"/>
    <w:rsid w:val="009444F6"/>
    <w:rsid w:val="0094534A"/>
    <w:rsid w:val="00947559"/>
    <w:rsid w:val="009572D5"/>
    <w:rsid w:val="00960101"/>
    <w:rsid w:val="009616E7"/>
    <w:rsid w:val="00961AF8"/>
    <w:rsid w:val="00961D68"/>
    <w:rsid w:val="009620A7"/>
    <w:rsid w:val="009650DE"/>
    <w:rsid w:val="009655FD"/>
    <w:rsid w:val="00966D19"/>
    <w:rsid w:val="00971B04"/>
    <w:rsid w:val="00973BD7"/>
    <w:rsid w:val="009768CD"/>
    <w:rsid w:val="009806AC"/>
    <w:rsid w:val="00981968"/>
    <w:rsid w:val="00984B16"/>
    <w:rsid w:val="00985647"/>
    <w:rsid w:val="00986262"/>
    <w:rsid w:val="00990D2E"/>
    <w:rsid w:val="00991392"/>
    <w:rsid w:val="0099351D"/>
    <w:rsid w:val="00994158"/>
    <w:rsid w:val="00994C6E"/>
    <w:rsid w:val="0099560D"/>
    <w:rsid w:val="00995E4D"/>
    <w:rsid w:val="009A3FEC"/>
    <w:rsid w:val="009A6B15"/>
    <w:rsid w:val="009B2015"/>
    <w:rsid w:val="009B2BA7"/>
    <w:rsid w:val="009B2F2A"/>
    <w:rsid w:val="009B37A1"/>
    <w:rsid w:val="009B44DC"/>
    <w:rsid w:val="009C0000"/>
    <w:rsid w:val="009C0719"/>
    <w:rsid w:val="009C2577"/>
    <w:rsid w:val="009C2F01"/>
    <w:rsid w:val="009C3004"/>
    <w:rsid w:val="009C5475"/>
    <w:rsid w:val="009C7860"/>
    <w:rsid w:val="009C7F0A"/>
    <w:rsid w:val="009D2B25"/>
    <w:rsid w:val="009D6DF9"/>
    <w:rsid w:val="009E2ED9"/>
    <w:rsid w:val="009E61F6"/>
    <w:rsid w:val="009E7354"/>
    <w:rsid w:val="009F1325"/>
    <w:rsid w:val="009F3387"/>
    <w:rsid w:val="009F767D"/>
    <w:rsid w:val="00A0307F"/>
    <w:rsid w:val="00A054D3"/>
    <w:rsid w:val="00A05C9F"/>
    <w:rsid w:val="00A05E09"/>
    <w:rsid w:val="00A06D56"/>
    <w:rsid w:val="00A06F58"/>
    <w:rsid w:val="00A07C10"/>
    <w:rsid w:val="00A11718"/>
    <w:rsid w:val="00A20CDA"/>
    <w:rsid w:val="00A20E0B"/>
    <w:rsid w:val="00A219F7"/>
    <w:rsid w:val="00A258D0"/>
    <w:rsid w:val="00A260F3"/>
    <w:rsid w:val="00A33CF8"/>
    <w:rsid w:val="00A33EC5"/>
    <w:rsid w:val="00A42498"/>
    <w:rsid w:val="00A45D75"/>
    <w:rsid w:val="00A4772C"/>
    <w:rsid w:val="00A50970"/>
    <w:rsid w:val="00A5176F"/>
    <w:rsid w:val="00A52237"/>
    <w:rsid w:val="00A523B9"/>
    <w:rsid w:val="00A53423"/>
    <w:rsid w:val="00A555A0"/>
    <w:rsid w:val="00A66021"/>
    <w:rsid w:val="00A72724"/>
    <w:rsid w:val="00A75967"/>
    <w:rsid w:val="00A82895"/>
    <w:rsid w:val="00A83268"/>
    <w:rsid w:val="00A8556E"/>
    <w:rsid w:val="00A86DC7"/>
    <w:rsid w:val="00AA051A"/>
    <w:rsid w:val="00AA437B"/>
    <w:rsid w:val="00AA4E08"/>
    <w:rsid w:val="00AB58F6"/>
    <w:rsid w:val="00AB6C0E"/>
    <w:rsid w:val="00AB6F1D"/>
    <w:rsid w:val="00AC24B2"/>
    <w:rsid w:val="00AC32B4"/>
    <w:rsid w:val="00AD0D07"/>
    <w:rsid w:val="00AD3AB7"/>
    <w:rsid w:val="00AD6B7C"/>
    <w:rsid w:val="00AE09F5"/>
    <w:rsid w:val="00AE17D1"/>
    <w:rsid w:val="00AE1DF2"/>
    <w:rsid w:val="00AE25E5"/>
    <w:rsid w:val="00AE31EC"/>
    <w:rsid w:val="00AF331B"/>
    <w:rsid w:val="00AF3876"/>
    <w:rsid w:val="00B12C49"/>
    <w:rsid w:val="00B15F80"/>
    <w:rsid w:val="00B17D2A"/>
    <w:rsid w:val="00B3001A"/>
    <w:rsid w:val="00B30A2B"/>
    <w:rsid w:val="00B312C2"/>
    <w:rsid w:val="00B320CA"/>
    <w:rsid w:val="00B3711A"/>
    <w:rsid w:val="00B45020"/>
    <w:rsid w:val="00B47311"/>
    <w:rsid w:val="00B5126A"/>
    <w:rsid w:val="00B534D5"/>
    <w:rsid w:val="00B61E8E"/>
    <w:rsid w:val="00B634DE"/>
    <w:rsid w:val="00B6410B"/>
    <w:rsid w:val="00B71104"/>
    <w:rsid w:val="00B72156"/>
    <w:rsid w:val="00B724A9"/>
    <w:rsid w:val="00B73C25"/>
    <w:rsid w:val="00B76466"/>
    <w:rsid w:val="00B82428"/>
    <w:rsid w:val="00B82C47"/>
    <w:rsid w:val="00B8399F"/>
    <w:rsid w:val="00B8796D"/>
    <w:rsid w:val="00B90B6F"/>
    <w:rsid w:val="00B9163D"/>
    <w:rsid w:val="00B9262D"/>
    <w:rsid w:val="00B95D70"/>
    <w:rsid w:val="00BA158C"/>
    <w:rsid w:val="00BA203C"/>
    <w:rsid w:val="00BA24F3"/>
    <w:rsid w:val="00BA4B9D"/>
    <w:rsid w:val="00BA526A"/>
    <w:rsid w:val="00BA7857"/>
    <w:rsid w:val="00BB2A8F"/>
    <w:rsid w:val="00BB2F85"/>
    <w:rsid w:val="00BB70B4"/>
    <w:rsid w:val="00BC0F17"/>
    <w:rsid w:val="00BC0FD6"/>
    <w:rsid w:val="00BC4FEC"/>
    <w:rsid w:val="00BC5860"/>
    <w:rsid w:val="00BC777C"/>
    <w:rsid w:val="00BD0029"/>
    <w:rsid w:val="00BD4286"/>
    <w:rsid w:val="00BD4580"/>
    <w:rsid w:val="00BD4887"/>
    <w:rsid w:val="00BD62CC"/>
    <w:rsid w:val="00BE2256"/>
    <w:rsid w:val="00BE36BE"/>
    <w:rsid w:val="00BE6925"/>
    <w:rsid w:val="00BE6F61"/>
    <w:rsid w:val="00BE7EF9"/>
    <w:rsid w:val="00BF3913"/>
    <w:rsid w:val="00BF490B"/>
    <w:rsid w:val="00BF5899"/>
    <w:rsid w:val="00BF6BDF"/>
    <w:rsid w:val="00C010A8"/>
    <w:rsid w:val="00C02B62"/>
    <w:rsid w:val="00C10879"/>
    <w:rsid w:val="00C1220E"/>
    <w:rsid w:val="00C13B7C"/>
    <w:rsid w:val="00C158E0"/>
    <w:rsid w:val="00C1791D"/>
    <w:rsid w:val="00C235D5"/>
    <w:rsid w:val="00C23F29"/>
    <w:rsid w:val="00C2480B"/>
    <w:rsid w:val="00C26BD5"/>
    <w:rsid w:val="00C306DE"/>
    <w:rsid w:val="00C30A6A"/>
    <w:rsid w:val="00C32393"/>
    <w:rsid w:val="00C330E3"/>
    <w:rsid w:val="00C34752"/>
    <w:rsid w:val="00C43C6C"/>
    <w:rsid w:val="00C46796"/>
    <w:rsid w:val="00C46C6C"/>
    <w:rsid w:val="00C521B7"/>
    <w:rsid w:val="00C52356"/>
    <w:rsid w:val="00C53CBC"/>
    <w:rsid w:val="00C545E6"/>
    <w:rsid w:val="00C57588"/>
    <w:rsid w:val="00C613E6"/>
    <w:rsid w:val="00C66BEF"/>
    <w:rsid w:val="00C810C8"/>
    <w:rsid w:val="00C923FC"/>
    <w:rsid w:val="00C92D18"/>
    <w:rsid w:val="00C937FC"/>
    <w:rsid w:val="00C96F52"/>
    <w:rsid w:val="00C97547"/>
    <w:rsid w:val="00CA35CB"/>
    <w:rsid w:val="00CB05E0"/>
    <w:rsid w:val="00CB09DB"/>
    <w:rsid w:val="00CB2654"/>
    <w:rsid w:val="00CB268D"/>
    <w:rsid w:val="00CB526C"/>
    <w:rsid w:val="00CC6205"/>
    <w:rsid w:val="00CC7312"/>
    <w:rsid w:val="00CD1374"/>
    <w:rsid w:val="00CD28CE"/>
    <w:rsid w:val="00CD3FE8"/>
    <w:rsid w:val="00CD718B"/>
    <w:rsid w:val="00CE1B0C"/>
    <w:rsid w:val="00CE206B"/>
    <w:rsid w:val="00CE3BAD"/>
    <w:rsid w:val="00CE7D73"/>
    <w:rsid w:val="00CF37D6"/>
    <w:rsid w:val="00CF3C66"/>
    <w:rsid w:val="00CF481F"/>
    <w:rsid w:val="00CF6248"/>
    <w:rsid w:val="00D00AD8"/>
    <w:rsid w:val="00D064C8"/>
    <w:rsid w:val="00D07756"/>
    <w:rsid w:val="00D111C0"/>
    <w:rsid w:val="00D1293A"/>
    <w:rsid w:val="00D14499"/>
    <w:rsid w:val="00D171D9"/>
    <w:rsid w:val="00D210A8"/>
    <w:rsid w:val="00D27279"/>
    <w:rsid w:val="00D30937"/>
    <w:rsid w:val="00D3108D"/>
    <w:rsid w:val="00D32E26"/>
    <w:rsid w:val="00D336BD"/>
    <w:rsid w:val="00D341A0"/>
    <w:rsid w:val="00D35F63"/>
    <w:rsid w:val="00D36B86"/>
    <w:rsid w:val="00D37821"/>
    <w:rsid w:val="00D37972"/>
    <w:rsid w:val="00D4024C"/>
    <w:rsid w:val="00D41DD2"/>
    <w:rsid w:val="00D44800"/>
    <w:rsid w:val="00D45CD3"/>
    <w:rsid w:val="00D558D3"/>
    <w:rsid w:val="00D56494"/>
    <w:rsid w:val="00D5750D"/>
    <w:rsid w:val="00D61E54"/>
    <w:rsid w:val="00D62419"/>
    <w:rsid w:val="00D634E0"/>
    <w:rsid w:val="00D650D2"/>
    <w:rsid w:val="00D654EB"/>
    <w:rsid w:val="00D66590"/>
    <w:rsid w:val="00D724D3"/>
    <w:rsid w:val="00D75DE3"/>
    <w:rsid w:val="00D771EB"/>
    <w:rsid w:val="00D80915"/>
    <w:rsid w:val="00D81BF1"/>
    <w:rsid w:val="00D82AF4"/>
    <w:rsid w:val="00D85CE0"/>
    <w:rsid w:val="00D87BBB"/>
    <w:rsid w:val="00D92CBD"/>
    <w:rsid w:val="00D93992"/>
    <w:rsid w:val="00D976F8"/>
    <w:rsid w:val="00D97B4C"/>
    <w:rsid w:val="00D97E46"/>
    <w:rsid w:val="00DA3881"/>
    <w:rsid w:val="00DA6CC8"/>
    <w:rsid w:val="00DA718A"/>
    <w:rsid w:val="00DB0FD1"/>
    <w:rsid w:val="00DB1143"/>
    <w:rsid w:val="00DB74E3"/>
    <w:rsid w:val="00DC2895"/>
    <w:rsid w:val="00DC2A99"/>
    <w:rsid w:val="00DC3C89"/>
    <w:rsid w:val="00DC4A0A"/>
    <w:rsid w:val="00DC5274"/>
    <w:rsid w:val="00DC7698"/>
    <w:rsid w:val="00DD0C85"/>
    <w:rsid w:val="00DD2308"/>
    <w:rsid w:val="00DD3175"/>
    <w:rsid w:val="00DD3542"/>
    <w:rsid w:val="00DD3A3E"/>
    <w:rsid w:val="00DD599B"/>
    <w:rsid w:val="00DD796A"/>
    <w:rsid w:val="00DE4B25"/>
    <w:rsid w:val="00DE52B5"/>
    <w:rsid w:val="00DE5EC9"/>
    <w:rsid w:val="00DE6B55"/>
    <w:rsid w:val="00DF2C50"/>
    <w:rsid w:val="00DF511F"/>
    <w:rsid w:val="00E1081F"/>
    <w:rsid w:val="00E131BB"/>
    <w:rsid w:val="00E133B2"/>
    <w:rsid w:val="00E1386F"/>
    <w:rsid w:val="00E15DD0"/>
    <w:rsid w:val="00E16EEC"/>
    <w:rsid w:val="00E17560"/>
    <w:rsid w:val="00E2531E"/>
    <w:rsid w:val="00E26EF3"/>
    <w:rsid w:val="00E26FC6"/>
    <w:rsid w:val="00E27A21"/>
    <w:rsid w:val="00E31FF4"/>
    <w:rsid w:val="00E3253F"/>
    <w:rsid w:val="00E33A06"/>
    <w:rsid w:val="00E41BA7"/>
    <w:rsid w:val="00E42053"/>
    <w:rsid w:val="00E42E73"/>
    <w:rsid w:val="00E457F1"/>
    <w:rsid w:val="00E45A42"/>
    <w:rsid w:val="00E50429"/>
    <w:rsid w:val="00E5190C"/>
    <w:rsid w:val="00E5195D"/>
    <w:rsid w:val="00E52545"/>
    <w:rsid w:val="00E54E49"/>
    <w:rsid w:val="00E55770"/>
    <w:rsid w:val="00E56441"/>
    <w:rsid w:val="00E67CFD"/>
    <w:rsid w:val="00E72E84"/>
    <w:rsid w:val="00E74799"/>
    <w:rsid w:val="00E747D6"/>
    <w:rsid w:val="00E80A0D"/>
    <w:rsid w:val="00E86575"/>
    <w:rsid w:val="00E87CAC"/>
    <w:rsid w:val="00E93643"/>
    <w:rsid w:val="00E945B7"/>
    <w:rsid w:val="00E94E8A"/>
    <w:rsid w:val="00E950DC"/>
    <w:rsid w:val="00EA0625"/>
    <w:rsid w:val="00EA173D"/>
    <w:rsid w:val="00EA4869"/>
    <w:rsid w:val="00EA554A"/>
    <w:rsid w:val="00EB0DC7"/>
    <w:rsid w:val="00EB1FF6"/>
    <w:rsid w:val="00EB2016"/>
    <w:rsid w:val="00EB2E94"/>
    <w:rsid w:val="00EB2F89"/>
    <w:rsid w:val="00EB6FD3"/>
    <w:rsid w:val="00EC0CE5"/>
    <w:rsid w:val="00EC2C9F"/>
    <w:rsid w:val="00EC565B"/>
    <w:rsid w:val="00ED0075"/>
    <w:rsid w:val="00EE5ED2"/>
    <w:rsid w:val="00EE7758"/>
    <w:rsid w:val="00EF2E8A"/>
    <w:rsid w:val="00EF5E1A"/>
    <w:rsid w:val="00F045D6"/>
    <w:rsid w:val="00F05157"/>
    <w:rsid w:val="00F05A97"/>
    <w:rsid w:val="00F0649C"/>
    <w:rsid w:val="00F069DB"/>
    <w:rsid w:val="00F07EAC"/>
    <w:rsid w:val="00F11A42"/>
    <w:rsid w:val="00F13D62"/>
    <w:rsid w:val="00F1645D"/>
    <w:rsid w:val="00F218AF"/>
    <w:rsid w:val="00F255C6"/>
    <w:rsid w:val="00F25B4F"/>
    <w:rsid w:val="00F30FBA"/>
    <w:rsid w:val="00F3139C"/>
    <w:rsid w:val="00F32D9C"/>
    <w:rsid w:val="00F34E63"/>
    <w:rsid w:val="00F40B2E"/>
    <w:rsid w:val="00F41427"/>
    <w:rsid w:val="00F45E9F"/>
    <w:rsid w:val="00F46CF5"/>
    <w:rsid w:val="00F51345"/>
    <w:rsid w:val="00F55F90"/>
    <w:rsid w:val="00F5745B"/>
    <w:rsid w:val="00F57972"/>
    <w:rsid w:val="00F60C24"/>
    <w:rsid w:val="00F620F8"/>
    <w:rsid w:val="00F62EC9"/>
    <w:rsid w:val="00F6492B"/>
    <w:rsid w:val="00F67253"/>
    <w:rsid w:val="00F67A0D"/>
    <w:rsid w:val="00F67A9F"/>
    <w:rsid w:val="00F70F16"/>
    <w:rsid w:val="00F748F0"/>
    <w:rsid w:val="00F7590F"/>
    <w:rsid w:val="00F75924"/>
    <w:rsid w:val="00F846AD"/>
    <w:rsid w:val="00F90D11"/>
    <w:rsid w:val="00F91627"/>
    <w:rsid w:val="00F929F5"/>
    <w:rsid w:val="00F94632"/>
    <w:rsid w:val="00F94F5D"/>
    <w:rsid w:val="00F9659E"/>
    <w:rsid w:val="00F96F38"/>
    <w:rsid w:val="00F974E4"/>
    <w:rsid w:val="00FA02BE"/>
    <w:rsid w:val="00FA0617"/>
    <w:rsid w:val="00FA74B1"/>
    <w:rsid w:val="00FA7683"/>
    <w:rsid w:val="00FB01F6"/>
    <w:rsid w:val="00FB33B5"/>
    <w:rsid w:val="00FB3438"/>
    <w:rsid w:val="00FC049E"/>
    <w:rsid w:val="00FC0558"/>
    <w:rsid w:val="00FC4DE4"/>
    <w:rsid w:val="00FD26FA"/>
    <w:rsid w:val="00FD2C59"/>
    <w:rsid w:val="00FE365C"/>
    <w:rsid w:val="00FE7512"/>
    <w:rsid w:val="00FF2C88"/>
    <w:rsid w:val="00FF4874"/>
    <w:rsid w:val="00FF5891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7AFEB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3314"/>
  </w:style>
  <w:style w:type="paragraph" w:styleId="Nadpis1">
    <w:name w:val="heading 1"/>
    <w:basedOn w:val="Normln"/>
    <w:next w:val="Normln"/>
    <w:qFormat/>
    <w:rsid w:val="00BB70B4"/>
    <w:pPr>
      <w:keepNext/>
      <w:spacing w:before="120" w:after="120"/>
      <w:outlineLvl w:val="0"/>
    </w:pPr>
    <w:rPr>
      <w:b/>
      <w:bCs/>
      <w:iCs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3C68DD"/>
    <w:pPr>
      <w:keepNext/>
      <w:spacing w:before="40" w:after="200"/>
      <w:outlineLvl w:val="1"/>
    </w:pPr>
    <w:rPr>
      <w:b/>
      <w:sz w:val="28"/>
    </w:rPr>
  </w:style>
  <w:style w:type="paragraph" w:styleId="Nadpis3">
    <w:name w:val="heading 3"/>
    <w:basedOn w:val="Normln"/>
    <w:next w:val="Normln"/>
    <w:autoRedefine/>
    <w:qFormat/>
    <w:rsid w:val="003C68DD"/>
    <w:pPr>
      <w:keepNext/>
      <w:spacing w:before="40" w:after="120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b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platne1">
    <w:name w:val="platne1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edovanodkaz">
    <w:name w:val="FollowedHyperlink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DC4A0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86014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D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95D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uiPriority w:val="99"/>
    <w:semiHidden/>
    <w:unhideWhenUsed/>
    <w:rsid w:val="005A0F97"/>
    <w:rPr>
      <w:color w:val="808080"/>
      <w:shd w:val="clear" w:color="auto" w:fill="E6E6E6"/>
    </w:rPr>
  </w:style>
  <w:style w:type="paragraph" w:styleId="Odstavecseseznamem">
    <w:name w:val="List Paragraph"/>
    <w:basedOn w:val="Normln"/>
    <w:uiPriority w:val="34"/>
    <w:qFormat/>
    <w:rsid w:val="00570E06"/>
    <w:pPr>
      <w:ind w:left="720"/>
      <w:contextualSpacing/>
    </w:pPr>
  </w:style>
  <w:style w:type="paragraph" w:customStyle="1" w:styleId="DANAtitulek">
    <w:name w:val="DANA titulek"/>
    <w:basedOn w:val="Titulek"/>
    <w:link w:val="DANAtitulekChar"/>
    <w:rsid w:val="00B9262D"/>
    <w:pPr>
      <w:keepNext/>
      <w:spacing w:before="120" w:after="120"/>
      <w:jc w:val="center"/>
    </w:pPr>
    <w:rPr>
      <w:b w:val="0"/>
      <w:bCs w:val="0"/>
      <w:iCs/>
      <w:lang w:val="x-none" w:eastAsia="x-none"/>
    </w:rPr>
  </w:style>
  <w:style w:type="character" w:customStyle="1" w:styleId="DANAtitulekChar">
    <w:name w:val="DANA titulek Char"/>
    <w:link w:val="DANAtitulek"/>
    <w:rsid w:val="00B9262D"/>
    <w:rPr>
      <w:iCs/>
      <w:lang w:val="x-none" w:eastAsia="x-none"/>
    </w:rPr>
  </w:style>
  <w:style w:type="character" w:customStyle="1" w:styleId="ZhlavChar">
    <w:name w:val="Záhlaví Char"/>
    <w:link w:val="Zhlav"/>
    <w:uiPriority w:val="99"/>
    <w:locked/>
    <w:rsid w:val="009042E3"/>
  </w:style>
  <w:style w:type="character" w:customStyle="1" w:styleId="ZpatChar">
    <w:name w:val="Zápatí Char"/>
    <w:link w:val="Zpat"/>
    <w:uiPriority w:val="99"/>
    <w:locked/>
    <w:rsid w:val="009042E3"/>
  </w:style>
  <w:style w:type="paragraph" w:styleId="Zkladntext">
    <w:name w:val="Body Text"/>
    <w:basedOn w:val="Normln"/>
    <w:link w:val="ZkladntextChar"/>
    <w:uiPriority w:val="99"/>
    <w:rsid w:val="009042E3"/>
    <w:pPr>
      <w:spacing w:after="120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042E3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9042E3"/>
    <w:pPr>
      <w:tabs>
        <w:tab w:val="left" w:pos="480"/>
        <w:tab w:val="right" w:leader="dot" w:pos="9000"/>
      </w:tabs>
    </w:pPr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9042E3"/>
    <w:pPr>
      <w:tabs>
        <w:tab w:val="left" w:pos="960"/>
        <w:tab w:val="right" w:leader="dot" w:pos="9000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042E3"/>
    <w:pPr>
      <w:tabs>
        <w:tab w:val="left" w:pos="1440"/>
        <w:tab w:val="right" w:leader="dot" w:pos="9000"/>
      </w:tabs>
      <w:ind w:left="480"/>
    </w:pPr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9042E3"/>
    <w:pPr>
      <w:keepLines/>
      <w:spacing w:before="240" w:line="259" w:lineRule="auto"/>
      <w:outlineLvl w:val="9"/>
    </w:pPr>
    <w:rPr>
      <w:rFonts w:ascii="Cambria" w:hAnsi="Cambria"/>
      <w:b w:val="0"/>
      <w:bCs w:val="0"/>
      <w:i/>
      <w:iCs w:val="0"/>
      <w:color w:val="365F91"/>
      <w:szCs w:val="32"/>
    </w:rPr>
  </w:style>
  <w:style w:type="paragraph" w:customStyle="1" w:styleId="DANAslovannadpis3">
    <w:name w:val="DANA číslovaný nadpis 3"/>
    <w:basedOn w:val="Nadpis3"/>
    <w:next w:val="Normln"/>
    <w:rsid w:val="00317009"/>
    <w:pPr>
      <w:numPr>
        <w:ilvl w:val="2"/>
        <w:numId w:val="32"/>
      </w:numPr>
      <w:spacing w:before="360" w:after="240"/>
      <w:jc w:val="both"/>
    </w:pPr>
    <w:rPr>
      <w:szCs w:val="24"/>
    </w:rPr>
  </w:style>
  <w:style w:type="paragraph" w:customStyle="1" w:styleId="DANAslovannadpis1">
    <w:name w:val="DANA číslovaný nadpis 1"/>
    <w:basedOn w:val="Nadpis1"/>
    <w:next w:val="Normln"/>
    <w:rsid w:val="00317009"/>
    <w:pPr>
      <w:numPr>
        <w:numId w:val="32"/>
      </w:numPr>
      <w:spacing w:before="360" w:after="240"/>
      <w:jc w:val="both"/>
    </w:pPr>
    <w:rPr>
      <w:bCs w:val="0"/>
      <w:iCs w:val="0"/>
      <w:caps/>
      <w:kern w:val="28"/>
      <w:sz w:val="24"/>
      <w:szCs w:val="24"/>
    </w:rPr>
  </w:style>
  <w:style w:type="paragraph" w:customStyle="1" w:styleId="DANAslovannadpis2">
    <w:name w:val="DANA číslovaný nadpis 2"/>
    <w:basedOn w:val="Nadpis2"/>
    <w:next w:val="Normln"/>
    <w:qFormat/>
    <w:rsid w:val="00317009"/>
    <w:pPr>
      <w:numPr>
        <w:ilvl w:val="1"/>
        <w:numId w:val="32"/>
      </w:numPr>
      <w:spacing w:before="360" w:after="240"/>
      <w:jc w:val="both"/>
    </w:pPr>
    <w:rPr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3362B"/>
    <w:rPr>
      <w:color w:val="808080"/>
      <w:shd w:val="clear" w:color="auto" w:fill="E6E6E6"/>
    </w:rPr>
  </w:style>
  <w:style w:type="paragraph" w:customStyle="1" w:styleId="Default">
    <w:name w:val="Default"/>
    <w:rsid w:val="00331E9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15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353CE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rsid w:val="003C68DD"/>
    <w:rPr>
      <w:b/>
      <w:sz w:val="28"/>
    </w:rPr>
  </w:style>
  <w:style w:type="paragraph" w:customStyle="1" w:styleId="atextzpr">
    <w:name w:val="a_text_zpr"/>
    <w:basedOn w:val="Normln"/>
    <w:link w:val="atextzprChar2"/>
    <w:rsid w:val="002A4D2A"/>
    <w:pPr>
      <w:spacing w:before="120"/>
      <w:ind w:firstLine="567"/>
      <w:jc w:val="both"/>
    </w:pPr>
    <w:rPr>
      <w:sz w:val="24"/>
    </w:rPr>
  </w:style>
  <w:style w:type="character" w:customStyle="1" w:styleId="atextzprChar2">
    <w:name w:val="a_text_zpr Char2"/>
    <w:link w:val="atextzpr"/>
    <w:locked/>
    <w:rsid w:val="002A4D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7A839-A98F-44BF-BC0B-98117E2E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2625</Words>
  <Characters>16313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18901</CharactersWithSpaces>
  <SharedDoc>false</SharedDoc>
  <HLinks>
    <vt:vector size="12" baseType="variant">
      <vt:variant>
        <vt:i4>327703</vt:i4>
      </vt:variant>
      <vt:variant>
        <vt:i4>3</vt:i4>
      </vt:variant>
      <vt:variant>
        <vt:i4>0</vt:i4>
      </vt:variant>
      <vt:variant>
        <vt:i4>5</vt:i4>
      </vt:variant>
      <vt:variant>
        <vt:lpwstr>http://www.prosafety.cz/</vt:lpwstr>
      </vt:variant>
      <vt:variant>
        <vt:lpwstr/>
      </vt:variant>
      <vt:variant>
        <vt:i4>1900600</vt:i4>
      </vt:variant>
      <vt:variant>
        <vt:i4>0</vt:i4>
      </vt:variant>
      <vt:variant>
        <vt:i4>0</vt:i4>
      </vt:variant>
      <vt:variant>
        <vt:i4>5</vt:i4>
      </vt:variant>
      <vt:variant>
        <vt:lpwstr>mailto:safetypro@prosafety.cz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2020-04-20T08:20:00Z</dcterms:created>
  <dcterms:modified xsi:type="dcterms:W3CDTF">2020-05-14T04:57:00Z</dcterms:modified>
</cp:coreProperties>
</file>